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6A591" w14:textId="77777777" w:rsidR="00F573BD" w:rsidRPr="00FC7951" w:rsidRDefault="00F573BD" w:rsidP="00725F19">
      <w:pPr>
        <w:rPr>
          <w:rFonts w:ascii="Times New Roman" w:hAnsi="Times New Roman" w:cs="Times New Roman"/>
        </w:rPr>
      </w:pPr>
    </w:p>
    <w:p w14:paraId="1FBA9447" w14:textId="77777777" w:rsidR="00F573BD" w:rsidRPr="00FC7951" w:rsidRDefault="00F573BD" w:rsidP="00725F19">
      <w:pPr>
        <w:spacing w:after="0"/>
        <w:rPr>
          <w:rFonts w:ascii="Times New Roman" w:hAnsi="Times New Roman" w:cs="Times New Roman"/>
        </w:rPr>
      </w:pPr>
    </w:p>
    <w:p w14:paraId="53D73126"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Приложение № 1 к приказу</w:t>
      </w:r>
    </w:p>
    <w:p w14:paraId="018551FB"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АО «</w:t>
      </w:r>
      <w:bookmarkStart w:id="0" w:name="_GoBack"/>
      <w:r w:rsidRPr="00FC7951">
        <w:rPr>
          <w:rFonts w:ascii="Times New Roman" w:hAnsi="Times New Roman" w:cs="Times New Roman"/>
        </w:rPr>
        <w:t>ЕИРЦ ЛО</w:t>
      </w:r>
      <w:bookmarkEnd w:id="0"/>
      <w:r w:rsidRPr="00FC7951">
        <w:rPr>
          <w:rFonts w:ascii="Times New Roman" w:hAnsi="Times New Roman" w:cs="Times New Roman"/>
        </w:rPr>
        <w:t>»</w:t>
      </w:r>
    </w:p>
    <w:p w14:paraId="72A6AF1F" w14:textId="77777777" w:rsidR="00F573BD" w:rsidRPr="00FC7951" w:rsidRDefault="00F573BD" w:rsidP="00725F19">
      <w:pPr>
        <w:spacing w:after="0"/>
        <w:ind w:firstLine="6521"/>
        <w:rPr>
          <w:rFonts w:ascii="Times New Roman" w:hAnsi="Times New Roman" w:cs="Times New Roman"/>
        </w:rPr>
      </w:pPr>
      <w:r w:rsidRPr="00FC7951">
        <w:rPr>
          <w:rFonts w:ascii="Times New Roman" w:hAnsi="Times New Roman" w:cs="Times New Roman"/>
        </w:rPr>
        <w:t>от ________ № __________</w:t>
      </w:r>
    </w:p>
    <w:p w14:paraId="7F992727" w14:textId="77777777" w:rsidR="00F573BD" w:rsidRPr="00FC7951" w:rsidRDefault="00F573BD" w:rsidP="00725F19">
      <w:pPr>
        <w:spacing w:after="0"/>
        <w:ind w:firstLine="6521"/>
        <w:rPr>
          <w:rFonts w:ascii="Times New Roman" w:hAnsi="Times New Roman" w:cs="Times New Roman"/>
        </w:rPr>
      </w:pPr>
    </w:p>
    <w:p w14:paraId="31800851" w14:textId="77777777" w:rsidR="00F573BD" w:rsidRPr="00FC7951" w:rsidRDefault="00F573BD" w:rsidP="00725F19">
      <w:pPr>
        <w:spacing w:after="0"/>
        <w:ind w:firstLine="6521"/>
        <w:rPr>
          <w:rFonts w:ascii="Times New Roman" w:hAnsi="Times New Roman" w:cs="Times New Roman"/>
        </w:rPr>
      </w:pPr>
    </w:p>
    <w:p w14:paraId="17CBDCBA" w14:textId="77777777" w:rsidR="00F573BD" w:rsidRPr="00FC7951" w:rsidRDefault="00F573BD" w:rsidP="00725F19">
      <w:pPr>
        <w:spacing w:after="0"/>
        <w:ind w:firstLine="6521"/>
        <w:rPr>
          <w:rFonts w:ascii="Times New Roman" w:hAnsi="Times New Roman" w:cs="Times New Roman"/>
        </w:rPr>
      </w:pPr>
    </w:p>
    <w:p w14:paraId="02DF821F" w14:textId="77777777" w:rsidR="00F573BD" w:rsidRPr="00FC7951" w:rsidRDefault="00F573BD" w:rsidP="00725F19">
      <w:pPr>
        <w:spacing w:after="0"/>
        <w:ind w:firstLine="6521"/>
        <w:rPr>
          <w:rFonts w:ascii="Times New Roman" w:hAnsi="Times New Roman" w:cs="Times New Roman"/>
        </w:rPr>
      </w:pPr>
    </w:p>
    <w:p w14:paraId="538F9BBA" w14:textId="77777777" w:rsidR="00F573BD" w:rsidRPr="00F573BD" w:rsidRDefault="00F573BD"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МетодикА</w:t>
      </w:r>
    </w:p>
    <w:p w14:paraId="47561ED1" w14:textId="77777777" w:rsidR="00F573BD" w:rsidRPr="00F573BD" w:rsidRDefault="00F573BD" w:rsidP="00725F19">
      <w:pPr>
        <w:spacing w:after="0"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«проведениЕ экспертизы финансово-экономической устойчивости участников закупочных процедур»</w:t>
      </w:r>
    </w:p>
    <w:p w14:paraId="4DE90627" w14:textId="7DB0BECC" w:rsidR="00F573BD" w:rsidRDefault="00F573BD"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r w:rsidRPr="00F573BD">
        <w:rPr>
          <w:rFonts w:ascii="Times New Roman" w:eastAsia="Times New Roman" w:hAnsi="Times New Roman" w:cs="Times New Roman"/>
          <w:b/>
          <w:bCs/>
          <w:caps/>
          <w:sz w:val="36"/>
          <w:szCs w:val="36"/>
          <w:lang w:eastAsia="ru-RU"/>
        </w:rPr>
        <w:t>МТ-065-</w:t>
      </w:r>
      <w:r w:rsidRPr="00FC7951">
        <w:rPr>
          <w:rFonts w:ascii="Times New Roman" w:eastAsia="Times New Roman" w:hAnsi="Times New Roman" w:cs="Times New Roman"/>
          <w:b/>
          <w:bCs/>
          <w:caps/>
          <w:sz w:val="36"/>
          <w:szCs w:val="36"/>
          <w:lang w:eastAsia="ru-RU"/>
        </w:rPr>
        <w:t>4</w:t>
      </w:r>
    </w:p>
    <w:p w14:paraId="71B8B895" w14:textId="77777777" w:rsidR="00AF0ED2" w:rsidRDefault="00AF0ED2" w:rsidP="00AF0ED2">
      <w:pPr>
        <w:spacing w:after="0" w:line="240" w:lineRule="auto"/>
        <w:jc w:val="center"/>
        <w:rPr>
          <w:rFonts w:ascii="Times New Roman" w:eastAsia="Times New Roman" w:hAnsi="Times New Roman"/>
          <w:b/>
          <w:sz w:val="36"/>
          <w:szCs w:val="36"/>
        </w:rPr>
      </w:pPr>
      <w:r>
        <w:rPr>
          <w:rFonts w:ascii="Times New Roman" w:eastAsia="Times New Roman" w:hAnsi="Times New Roman"/>
          <w:b/>
          <w:sz w:val="36"/>
          <w:szCs w:val="36"/>
        </w:rPr>
        <w:t>АО «ЕИРЦ ЛО»</w:t>
      </w:r>
    </w:p>
    <w:p w14:paraId="009492B2" w14:textId="77777777" w:rsidR="00AF0ED2" w:rsidRPr="00F573BD" w:rsidRDefault="00AF0ED2" w:rsidP="00725F19">
      <w:pPr>
        <w:spacing w:beforeLines="60" w:before="144" w:afterLines="60" w:after="144" w:line="240" w:lineRule="auto"/>
        <w:jc w:val="center"/>
        <w:rPr>
          <w:rFonts w:ascii="Times New Roman" w:eastAsia="Times New Roman" w:hAnsi="Times New Roman" w:cs="Times New Roman"/>
          <w:b/>
          <w:bCs/>
          <w:caps/>
          <w:sz w:val="36"/>
          <w:szCs w:val="36"/>
          <w:lang w:eastAsia="ru-RU"/>
        </w:rPr>
      </w:pPr>
    </w:p>
    <w:p w14:paraId="7F9DD1EB" w14:textId="77777777" w:rsidR="00F573BD" w:rsidRPr="00FC7951" w:rsidRDefault="00F573BD" w:rsidP="00725F19">
      <w:pPr>
        <w:spacing w:after="0"/>
        <w:rPr>
          <w:rFonts w:ascii="Times New Roman" w:hAnsi="Times New Roman" w:cs="Times New Roman"/>
        </w:rPr>
      </w:pPr>
    </w:p>
    <w:p w14:paraId="648B16B6" w14:textId="77777777" w:rsidR="00B06B6F" w:rsidRPr="00FC7951" w:rsidRDefault="00B06B6F" w:rsidP="00725F19">
      <w:pPr>
        <w:spacing w:after="0"/>
        <w:rPr>
          <w:rFonts w:ascii="Times New Roman" w:hAnsi="Times New Roman" w:cs="Times New Roman"/>
        </w:rPr>
      </w:pPr>
    </w:p>
    <w:p w14:paraId="46F32526" w14:textId="77777777" w:rsidR="00B06B6F" w:rsidRPr="00FC7951" w:rsidRDefault="00B06B6F" w:rsidP="00725F19">
      <w:pPr>
        <w:spacing w:after="0"/>
        <w:rPr>
          <w:rFonts w:ascii="Times New Roman" w:hAnsi="Times New Roman" w:cs="Times New Roman"/>
        </w:rPr>
      </w:pPr>
    </w:p>
    <w:p w14:paraId="78E50542" w14:textId="77777777" w:rsidR="00B06B6F" w:rsidRPr="00FC7951" w:rsidRDefault="00B06B6F" w:rsidP="00725F19">
      <w:pPr>
        <w:spacing w:after="0"/>
        <w:rPr>
          <w:rFonts w:ascii="Times New Roman" w:hAnsi="Times New Roman" w:cs="Times New Roman"/>
        </w:rPr>
      </w:pPr>
    </w:p>
    <w:p w14:paraId="0507A8BF" w14:textId="77777777" w:rsidR="00B06B6F" w:rsidRPr="00FC7951" w:rsidRDefault="00B06B6F" w:rsidP="00725F19">
      <w:pPr>
        <w:spacing w:after="0"/>
        <w:rPr>
          <w:rFonts w:ascii="Times New Roman" w:hAnsi="Times New Roman" w:cs="Times New Roman"/>
        </w:rPr>
      </w:pPr>
    </w:p>
    <w:p w14:paraId="11E14CEE" w14:textId="77777777" w:rsidR="00B06B6F" w:rsidRPr="00FC7951" w:rsidRDefault="00B06B6F" w:rsidP="00725F19">
      <w:pPr>
        <w:spacing w:after="0"/>
        <w:rPr>
          <w:rFonts w:ascii="Times New Roman" w:hAnsi="Times New Roman" w:cs="Times New Roman"/>
        </w:rPr>
      </w:pPr>
    </w:p>
    <w:p w14:paraId="0B50FA04" w14:textId="77777777" w:rsidR="00B06B6F" w:rsidRPr="00FC7951" w:rsidRDefault="00B06B6F" w:rsidP="00725F19">
      <w:pPr>
        <w:spacing w:after="0"/>
        <w:rPr>
          <w:rFonts w:ascii="Times New Roman" w:hAnsi="Times New Roman" w:cs="Times New Roman"/>
        </w:rPr>
      </w:pPr>
    </w:p>
    <w:p w14:paraId="3C941DBB" w14:textId="77777777" w:rsidR="00B06B6F" w:rsidRPr="00FC7951" w:rsidRDefault="00B06B6F" w:rsidP="00725F19">
      <w:pPr>
        <w:spacing w:after="0"/>
        <w:rPr>
          <w:rFonts w:ascii="Times New Roman" w:hAnsi="Times New Roman" w:cs="Times New Roman"/>
        </w:rPr>
      </w:pPr>
    </w:p>
    <w:p w14:paraId="19456434" w14:textId="77777777" w:rsidR="00B06B6F" w:rsidRPr="00FC7951" w:rsidRDefault="00B06B6F" w:rsidP="00725F19">
      <w:pPr>
        <w:jc w:val="center"/>
        <w:rPr>
          <w:rFonts w:ascii="Times New Roman" w:hAnsi="Times New Roman" w:cs="Times New Roman"/>
        </w:rPr>
      </w:pPr>
    </w:p>
    <w:p w14:paraId="1621ED7E" w14:textId="77777777" w:rsidR="00B06B6F" w:rsidRPr="00FC7951" w:rsidRDefault="00B06B6F" w:rsidP="00725F19">
      <w:pPr>
        <w:jc w:val="center"/>
        <w:rPr>
          <w:rFonts w:ascii="Times New Roman" w:hAnsi="Times New Roman" w:cs="Times New Roman"/>
        </w:rPr>
      </w:pPr>
    </w:p>
    <w:p w14:paraId="2EA0C301" w14:textId="77777777" w:rsidR="00B06B6F" w:rsidRPr="00FC7951" w:rsidRDefault="00B06B6F" w:rsidP="00725F19">
      <w:pPr>
        <w:jc w:val="center"/>
        <w:rPr>
          <w:rFonts w:ascii="Times New Roman" w:hAnsi="Times New Roman" w:cs="Times New Roman"/>
        </w:rPr>
      </w:pPr>
    </w:p>
    <w:p w14:paraId="6865DB19" w14:textId="77777777" w:rsidR="00B06B6F" w:rsidRPr="00FC7951" w:rsidRDefault="00B06B6F" w:rsidP="00725F19">
      <w:pPr>
        <w:jc w:val="center"/>
        <w:rPr>
          <w:rFonts w:ascii="Times New Roman" w:hAnsi="Times New Roman" w:cs="Times New Roman"/>
        </w:rPr>
      </w:pPr>
    </w:p>
    <w:p w14:paraId="269330D7" w14:textId="77777777" w:rsidR="00B06B6F" w:rsidRPr="00FC7951" w:rsidRDefault="00B06B6F" w:rsidP="00725F19">
      <w:pPr>
        <w:jc w:val="center"/>
        <w:rPr>
          <w:rFonts w:ascii="Times New Roman" w:hAnsi="Times New Roman" w:cs="Times New Roman"/>
        </w:rPr>
      </w:pPr>
    </w:p>
    <w:p w14:paraId="77C56B03" w14:textId="77777777" w:rsidR="00B06B6F" w:rsidRPr="00FC7951" w:rsidRDefault="00B06B6F" w:rsidP="00725F19">
      <w:pPr>
        <w:jc w:val="center"/>
        <w:rPr>
          <w:rFonts w:ascii="Times New Roman" w:hAnsi="Times New Roman" w:cs="Times New Roman"/>
        </w:rPr>
      </w:pPr>
    </w:p>
    <w:p w14:paraId="0E3AAB58" w14:textId="5B1CBE5A" w:rsidR="00B06B6F" w:rsidRPr="00FC7951" w:rsidRDefault="00B06B6F" w:rsidP="00725F19">
      <w:pPr>
        <w:rPr>
          <w:rFonts w:ascii="Times New Roman" w:hAnsi="Times New Roman" w:cs="Times New Roman"/>
        </w:rPr>
      </w:pP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28" w:type="dxa"/>
          <w:right w:w="28" w:type="dxa"/>
        </w:tblCellMar>
        <w:tblLook w:val="0000" w:firstRow="0" w:lastRow="0" w:firstColumn="0" w:lastColumn="0" w:noHBand="0" w:noVBand="0"/>
      </w:tblPr>
      <w:tblGrid>
        <w:gridCol w:w="3073"/>
        <w:gridCol w:w="6272"/>
      </w:tblGrid>
      <w:tr w:rsidR="00B06B6F" w:rsidRPr="00FC7951" w14:paraId="73296AB6" w14:textId="77777777" w:rsidTr="00FC7951">
        <w:trPr>
          <w:trHeight w:val="284"/>
          <w:tblHeader/>
        </w:trPr>
        <w:tc>
          <w:tcPr>
            <w:tcW w:w="1644" w:type="pct"/>
            <w:shd w:val="clear" w:color="auto" w:fill="D9D9D9"/>
            <w:vAlign w:val="center"/>
          </w:tcPr>
          <w:p w14:paraId="7BCBF75A" w14:textId="77777777" w:rsidR="00B06B6F" w:rsidRPr="00FC7951" w:rsidRDefault="00B06B6F" w:rsidP="00725F19">
            <w:pPr>
              <w:keepNext/>
              <w:rPr>
                <w:rFonts w:ascii="Times New Roman" w:eastAsia="Calibri" w:hAnsi="Times New Roman" w:cs="Times New Roman"/>
                <w:b/>
                <w:bCs/>
                <w:sz w:val="24"/>
                <w:szCs w:val="24"/>
                <w:highlight w:val="yellow"/>
              </w:rPr>
            </w:pPr>
            <w:r w:rsidRPr="00FC7951">
              <w:rPr>
                <w:rFonts w:ascii="Times New Roman" w:eastAsia="Calibri" w:hAnsi="Times New Roman" w:cs="Times New Roman"/>
                <w:b/>
                <w:bCs/>
                <w:sz w:val="24"/>
                <w:szCs w:val="24"/>
              </w:rPr>
              <w:t>Ответственный за применение ВНД</w:t>
            </w:r>
          </w:p>
        </w:tc>
        <w:tc>
          <w:tcPr>
            <w:tcW w:w="3356" w:type="pct"/>
            <w:shd w:val="clear" w:color="auto" w:fill="FFFFFF"/>
            <w:vAlign w:val="center"/>
          </w:tcPr>
          <w:p w14:paraId="5ADD343A" w14:textId="77777777" w:rsidR="00B06B6F" w:rsidRPr="00FC7951" w:rsidRDefault="00B06B6F" w:rsidP="00725F19">
            <w:pPr>
              <w:keepNext/>
              <w:rPr>
                <w:rFonts w:ascii="Times New Roman" w:eastAsia="Calibri" w:hAnsi="Times New Roman" w:cs="Times New Roman"/>
                <w:b/>
                <w:bCs/>
                <w:sz w:val="24"/>
                <w:szCs w:val="24"/>
              </w:rPr>
            </w:pPr>
            <w:r w:rsidRPr="00FC7951">
              <w:rPr>
                <w:rFonts w:ascii="Times New Roman" w:hAnsi="Times New Roman" w:cs="Times New Roman"/>
                <w:sz w:val="24"/>
                <w:szCs w:val="24"/>
              </w:rPr>
              <w:t>Директор по экономике и финансам</w:t>
            </w:r>
          </w:p>
        </w:tc>
      </w:tr>
      <w:tr w:rsidR="00B06B6F" w:rsidRPr="00FC7951" w14:paraId="1201A28A" w14:textId="77777777" w:rsidTr="00FC7951">
        <w:trPr>
          <w:trHeight w:val="284"/>
          <w:tblHeader/>
        </w:trPr>
        <w:tc>
          <w:tcPr>
            <w:tcW w:w="1644" w:type="pct"/>
            <w:shd w:val="clear" w:color="auto" w:fill="D9D9D9"/>
            <w:vAlign w:val="center"/>
          </w:tcPr>
          <w:p w14:paraId="16EFB990" w14:textId="77777777" w:rsidR="00B06B6F" w:rsidRPr="00FC7951" w:rsidRDefault="00B06B6F" w:rsidP="00725F19">
            <w:pPr>
              <w:keepNext/>
              <w:rPr>
                <w:rFonts w:ascii="Times New Roman" w:eastAsia="Calibri" w:hAnsi="Times New Roman" w:cs="Times New Roman"/>
                <w:b/>
                <w:bCs/>
                <w:sz w:val="24"/>
                <w:szCs w:val="24"/>
                <w:highlight w:val="yellow"/>
              </w:rPr>
            </w:pPr>
            <w:r w:rsidRPr="00FC7951">
              <w:rPr>
                <w:rFonts w:ascii="Times New Roman" w:eastAsia="Calibri" w:hAnsi="Times New Roman" w:cs="Times New Roman"/>
                <w:b/>
                <w:bCs/>
                <w:sz w:val="24"/>
                <w:szCs w:val="24"/>
              </w:rPr>
              <w:t>Владелец документа</w:t>
            </w:r>
          </w:p>
        </w:tc>
        <w:tc>
          <w:tcPr>
            <w:tcW w:w="3356" w:type="pct"/>
            <w:shd w:val="clear" w:color="auto" w:fill="FFFFFF"/>
            <w:vAlign w:val="center"/>
          </w:tcPr>
          <w:p w14:paraId="05AE7D18" w14:textId="77777777" w:rsidR="00B06B6F" w:rsidRPr="00FC7951" w:rsidRDefault="00B06B6F" w:rsidP="00725F19">
            <w:pPr>
              <w:keepNext/>
              <w:rPr>
                <w:rFonts w:ascii="Times New Roman" w:eastAsia="Calibri" w:hAnsi="Times New Roman" w:cs="Times New Roman"/>
                <w:bCs/>
                <w:sz w:val="24"/>
                <w:szCs w:val="24"/>
              </w:rPr>
            </w:pPr>
            <w:r w:rsidRPr="00FC7951">
              <w:rPr>
                <w:rFonts w:ascii="Times New Roman" w:eastAsia="Calibri" w:hAnsi="Times New Roman" w:cs="Times New Roman"/>
                <w:bCs/>
                <w:sz w:val="24"/>
                <w:szCs w:val="24"/>
              </w:rPr>
              <w:t>Финансово-экономический центр/Финансовый директор</w:t>
            </w:r>
          </w:p>
        </w:tc>
      </w:tr>
    </w:tbl>
    <w:p w14:paraId="63C55109" w14:textId="77777777" w:rsidR="00B06B6F" w:rsidRPr="00FC7951" w:rsidRDefault="00B06B6F" w:rsidP="00725F19">
      <w:pPr>
        <w:jc w:val="center"/>
        <w:rPr>
          <w:rFonts w:ascii="Times New Roman" w:hAnsi="Times New Roman" w:cs="Times New Roman"/>
          <w:b/>
          <w:bCs/>
          <w:caps/>
          <w:sz w:val="36"/>
          <w:szCs w:val="36"/>
        </w:rPr>
      </w:pPr>
      <w:r w:rsidRPr="00FC7951">
        <w:rPr>
          <w:rFonts w:ascii="Times New Roman" w:hAnsi="Times New Roman" w:cs="Times New Roman"/>
        </w:rPr>
        <w:br w:type="page"/>
      </w:r>
    </w:p>
    <w:p w14:paraId="23C2BC5C" w14:textId="77777777" w:rsidR="00B06B6F" w:rsidRPr="00FC7951" w:rsidRDefault="00B06B6F" w:rsidP="00725F19">
      <w:pPr>
        <w:pStyle w:val="11"/>
        <w:rPr>
          <w:rFonts w:ascii="Times New Roman" w:hAnsi="Times New Roman"/>
          <w:noProof/>
        </w:rPr>
      </w:pPr>
    </w:p>
    <w:sdt>
      <w:sdtPr>
        <w:rPr>
          <w:rFonts w:ascii="Arial" w:hAnsi="Arial"/>
          <w:b w:val="0"/>
          <w:bCs w:val="0"/>
          <w:iCs/>
          <w:sz w:val="24"/>
        </w:rPr>
        <w:id w:val="-2131078968"/>
        <w:docPartObj>
          <w:docPartGallery w:val="Table of Contents"/>
          <w:docPartUnique/>
        </w:docPartObj>
      </w:sdtPr>
      <w:sdtEndPr>
        <w:rPr>
          <w:bCs/>
        </w:rPr>
      </w:sdtEndPr>
      <w:sdtContent>
        <w:p w14:paraId="00C0D318" w14:textId="77777777" w:rsidR="00B06B6F" w:rsidRPr="00FC7951" w:rsidRDefault="00B06B6F" w:rsidP="00725F19">
          <w:pPr>
            <w:pStyle w:val="a8"/>
            <w:spacing w:before="100" w:beforeAutospacing="1" w:after="100" w:afterAutospacing="1"/>
            <w:rPr>
              <w:color w:val="000000" w:themeColor="text1"/>
              <w:szCs w:val="28"/>
            </w:rPr>
          </w:pPr>
          <w:r w:rsidRPr="00FC7951">
            <w:rPr>
              <w:color w:val="000000" w:themeColor="text1"/>
              <w:szCs w:val="28"/>
            </w:rPr>
            <w:t>СОДЕРЖАНИЕ</w:t>
          </w:r>
        </w:p>
        <w:p w14:paraId="006EDFA4" w14:textId="77777777" w:rsidR="00B06B6F" w:rsidRPr="00FC7951" w:rsidRDefault="00B06B6F" w:rsidP="00725F19">
          <w:pPr>
            <w:pStyle w:val="1"/>
            <w:numPr>
              <w:ilvl w:val="0"/>
              <w:numId w:val="0"/>
            </w:numPr>
            <w:rPr>
              <w:sz w:val="28"/>
              <w:szCs w:val="28"/>
            </w:rPr>
          </w:pPr>
        </w:p>
        <w:p w14:paraId="38865898" w14:textId="77777777" w:rsidR="00B06B6F" w:rsidRPr="00FC7951" w:rsidRDefault="00B06B6F" w:rsidP="00725F19">
          <w:pPr>
            <w:pStyle w:val="11"/>
            <w:rPr>
              <w:rFonts w:ascii="Times New Roman" w:eastAsiaTheme="minorEastAsia" w:hAnsi="Times New Roman"/>
              <w:noProof/>
              <w:sz w:val="22"/>
              <w:szCs w:val="22"/>
            </w:rPr>
          </w:pPr>
          <w:r w:rsidRPr="00FC7951">
            <w:rPr>
              <w:rFonts w:ascii="Times New Roman" w:hAnsi="Times New Roman"/>
            </w:rPr>
            <w:fldChar w:fldCharType="begin"/>
          </w:r>
          <w:r w:rsidRPr="00FC7951">
            <w:rPr>
              <w:rFonts w:ascii="Times New Roman" w:hAnsi="Times New Roman"/>
            </w:rPr>
            <w:instrText xml:space="preserve"> TOC \o "1-3" \h \z \u </w:instrText>
          </w:r>
          <w:r w:rsidRPr="00FC7951">
            <w:rPr>
              <w:rFonts w:ascii="Times New Roman" w:hAnsi="Times New Roman"/>
            </w:rPr>
            <w:fldChar w:fldCharType="separate"/>
          </w:r>
          <w:hyperlink w:anchor="_Toc107247759" w:history="1">
            <w:r w:rsidRPr="00FC7951">
              <w:rPr>
                <w:rStyle w:val="ab"/>
                <w:rFonts w:ascii="Times New Roman" w:hAnsi="Times New Roman"/>
                <w:noProof/>
              </w:rPr>
              <w:t>1.</w:t>
            </w:r>
            <w:r w:rsidRPr="00FC7951">
              <w:rPr>
                <w:rFonts w:ascii="Times New Roman" w:eastAsiaTheme="minorEastAsia" w:hAnsi="Times New Roman"/>
                <w:noProof/>
                <w:sz w:val="22"/>
                <w:szCs w:val="22"/>
              </w:rPr>
              <w:tab/>
            </w:r>
            <w:r w:rsidRPr="00FC7951">
              <w:rPr>
                <w:rStyle w:val="ab"/>
                <w:rFonts w:ascii="Times New Roman" w:hAnsi="Times New Roman"/>
                <w:noProof/>
              </w:rPr>
              <w:t>ИНФОРМАЦИЯ О ДОКУМЕНТЕ</w:t>
            </w:r>
            <w:r w:rsidRPr="00FC7951">
              <w:rPr>
                <w:rFonts w:ascii="Times New Roman" w:hAnsi="Times New Roman"/>
                <w:noProof/>
                <w:webHidden/>
              </w:rPr>
              <w:tab/>
            </w:r>
            <w:r w:rsidRPr="00FC7951">
              <w:rPr>
                <w:rFonts w:ascii="Times New Roman" w:hAnsi="Times New Roman"/>
                <w:noProof/>
                <w:webHidden/>
              </w:rPr>
              <w:fldChar w:fldCharType="begin"/>
            </w:r>
            <w:r w:rsidRPr="00FC7951">
              <w:rPr>
                <w:rFonts w:ascii="Times New Roman" w:hAnsi="Times New Roman"/>
                <w:noProof/>
                <w:webHidden/>
              </w:rPr>
              <w:instrText xml:space="preserve"> PAGEREF _Toc107247759 \h </w:instrText>
            </w:r>
            <w:r w:rsidRPr="00FC7951">
              <w:rPr>
                <w:rFonts w:ascii="Times New Roman" w:hAnsi="Times New Roman"/>
                <w:noProof/>
                <w:webHidden/>
              </w:rPr>
            </w:r>
            <w:r w:rsidRPr="00FC7951">
              <w:rPr>
                <w:rFonts w:ascii="Times New Roman" w:hAnsi="Times New Roman"/>
                <w:noProof/>
                <w:webHidden/>
              </w:rPr>
              <w:fldChar w:fldCharType="separate"/>
            </w:r>
            <w:r w:rsidRPr="00FC7951">
              <w:rPr>
                <w:rFonts w:ascii="Times New Roman" w:hAnsi="Times New Roman"/>
                <w:noProof/>
                <w:webHidden/>
              </w:rPr>
              <w:t>3</w:t>
            </w:r>
            <w:r w:rsidRPr="00FC7951">
              <w:rPr>
                <w:rFonts w:ascii="Times New Roman" w:hAnsi="Times New Roman"/>
                <w:noProof/>
                <w:webHidden/>
              </w:rPr>
              <w:fldChar w:fldCharType="end"/>
            </w:r>
          </w:hyperlink>
        </w:p>
        <w:p w14:paraId="15017F2C" w14:textId="77777777" w:rsidR="00B06B6F" w:rsidRPr="00FC7951" w:rsidRDefault="00832349" w:rsidP="00725F19">
          <w:pPr>
            <w:pStyle w:val="11"/>
            <w:rPr>
              <w:rFonts w:ascii="Times New Roman" w:eastAsiaTheme="minorEastAsia" w:hAnsi="Times New Roman"/>
              <w:noProof/>
              <w:sz w:val="22"/>
              <w:szCs w:val="22"/>
            </w:rPr>
          </w:pPr>
          <w:hyperlink w:anchor="_Toc107247760" w:history="1">
            <w:r w:rsidR="00B06B6F" w:rsidRPr="00FC7951">
              <w:rPr>
                <w:rStyle w:val="ab"/>
                <w:rFonts w:ascii="Times New Roman" w:hAnsi="Times New Roman"/>
                <w:noProof/>
              </w:rPr>
              <w:t>2.</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ОТВЕТСТВЕННОСТЬ И ОБЛАСТЬ ПРИМЕНЕНИЯ</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_Toc107247760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3</w:t>
            </w:r>
            <w:r w:rsidR="00B06B6F" w:rsidRPr="00FC7951">
              <w:rPr>
                <w:rFonts w:ascii="Times New Roman" w:hAnsi="Times New Roman"/>
                <w:noProof/>
                <w:webHidden/>
              </w:rPr>
              <w:fldChar w:fldCharType="end"/>
            </w:r>
          </w:hyperlink>
        </w:p>
        <w:p w14:paraId="75786BD6" w14:textId="77777777" w:rsidR="00B06B6F" w:rsidRPr="00FC7951" w:rsidRDefault="00832349" w:rsidP="00725F19">
          <w:pPr>
            <w:pStyle w:val="11"/>
            <w:rPr>
              <w:rFonts w:ascii="Times New Roman" w:eastAsiaTheme="minorEastAsia" w:hAnsi="Times New Roman"/>
              <w:noProof/>
              <w:sz w:val="22"/>
              <w:szCs w:val="22"/>
            </w:rPr>
          </w:pPr>
          <w:hyperlink w:anchor="_Toc107247761" w:history="1">
            <w:r w:rsidR="00B06B6F" w:rsidRPr="00FC7951">
              <w:rPr>
                <w:rStyle w:val="ab"/>
                <w:rFonts w:ascii="Times New Roman" w:hAnsi="Times New Roman"/>
                <w:noProof/>
              </w:rPr>
              <w:t>3.</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ОПРЕДЕЛЕНИЯ РОЛЕЙ И ТЕРМИНОВ</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_Toc107247761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3</w:t>
            </w:r>
            <w:r w:rsidR="00B06B6F" w:rsidRPr="00FC7951">
              <w:rPr>
                <w:rFonts w:ascii="Times New Roman" w:hAnsi="Times New Roman"/>
                <w:noProof/>
                <w:webHidden/>
              </w:rPr>
              <w:fldChar w:fldCharType="end"/>
            </w:r>
          </w:hyperlink>
        </w:p>
        <w:p w14:paraId="27CDDB11" w14:textId="77777777" w:rsidR="00B06B6F" w:rsidRPr="00FC7951" w:rsidRDefault="00832349" w:rsidP="00725F19">
          <w:pPr>
            <w:pStyle w:val="11"/>
            <w:rPr>
              <w:rFonts w:ascii="Times New Roman" w:eastAsiaTheme="minorEastAsia" w:hAnsi="Times New Roman"/>
              <w:noProof/>
              <w:sz w:val="22"/>
              <w:szCs w:val="22"/>
            </w:rPr>
          </w:pPr>
          <w:hyperlink w:anchor="_Toc107247762" w:history="1">
            <w:r w:rsidR="00B06B6F" w:rsidRPr="00FC7951">
              <w:rPr>
                <w:rStyle w:val="ab"/>
                <w:rFonts w:ascii="Times New Roman" w:hAnsi="Times New Roman"/>
                <w:noProof/>
              </w:rPr>
              <w:t>4.</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НАЗНАЧЕНИЕ</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_Toc107247762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5</w:t>
            </w:r>
            <w:r w:rsidR="00B06B6F" w:rsidRPr="00FC7951">
              <w:rPr>
                <w:rFonts w:ascii="Times New Roman" w:hAnsi="Times New Roman"/>
                <w:noProof/>
                <w:webHidden/>
              </w:rPr>
              <w:fldChar w:fldCharType="end"/>
            </w:r>
          </w:hyperlink>
        </w:p>
        <w:p w14:paraId="1F59EB6D" w14:textId="77777777" w:rsidR="00B06B6F" w:rsidRPr="00FC7951" w:rsidRDefault="00832349" w:rsidP="00725F19">
          <w:pPr>
            <w:pStyle w:val="11"/>
            <w:rPr>
              <w:rFonts w:ascii="Times New Roman" w:eastAsiaTheme="minorEastAsia" w:hAnsi="Times New Roman"/>
              <w:noProof/>
              <w:sz w:val="22"/>
              <w:szCs w:val="22"/>
            </w:rPr>
          </w:pPr>
          <w:hyperlink w:anchor="_Toc107247763" w:history="1">
            <w:r w:rsidR="00B06B6F" w:rsidRPr="00FC7951">
              <w:rPr>
                <w:rStyle w:val="ab"/>
                <w:rFonts w:ascii="Times New Roman" w:hAnsi="Times New Roman"/>
                <w:noProof/>
              </w:rPr>
              <w:t>5.</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ОБЩИЕ ПОЛОЖЕНИЯ</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_Toc107247763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6</w:t>
            </w:r>
            <w:r w:rsidR="00B06B6F" w:rsidRPr="00FC7951">
              <w:rPr>
                <w:rFonts w:ascii="Times New Roman" w:hAnsi="Times New Roman"/>
                <w:noProof/>
                <w:webHidden/>
              </w:rPr>
              <w:fldChar w:fldCharType="end"/>
            </w:r>
          </w:hyperlink>
        </w:p>
        <w:p w14:paraId="57A97CAD" w14:textId="77777777" w:rsidR="00B06B6F" w:rsidRPr="00FC7951" w:rsidRDefault="00832349" w:rsidP="00725F19">
          <w:pPr>
            <w:pStyle w:val="11"/>
            <w:rPr>
              <w:rFonts w:ascii="Times New Roman" w:eastAsiaTheme="minorEastAsia" w:hAnsi="Times New Roman"/>
              <w:noProof/>
              <w:sz w:val="22"/>
              <w:szCs w:val="22"/>
            </w:rPr>
          </w:pPr>
          <w:hyperlink w:anchor="_Toc107247771" w:history="1">
            <w:r w:rsidR="00B06B6F" w:rsidRPr="00FC7951">
              <w:rPr>
                <w:rStyle w:val="ab"/>
                <w:rFonts w:ascii="Times New Roman" w:hAnsi="Times New Roman"/>
                <w:noProof/>
              </w:rPr>
              <w:t>6.</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ИНФОРМАЦИЯ, ИСПОЛЬЗУЕМАЯ ДЛЯ ОЦЕНКИ</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_Toc107247771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7</w:t>
            </w:r>
            <w:r w:rsidR="00B06B6F" w:rsidRPr="00FC7951">
              <w:rPr>
                <w:rFonts w:ascii="Times New Roman" w:hAnsi="Times New Roman"/>
                <w:noProof/>
                <w:webHidden/>
              </w:rPr>
              <w:fldChar w:fldCharType="end"/>
            </w:r>
          </w:hyperlink>
        </w:p>
        <w:p w14:paraId="1C20EF03" w14:textId="77777777" w:rsidR="00B06B6F" w:rsidRPr="00FC7951" w:rsidRDefault="00832349" w:rsidP="00725F19">
          <w:pPr>
            <w:pStyle w:val="11"/>
            <w:rPr>
              <w:rFonts w:ascii="Times New Roman" w:eastAsiaTheme="minorEastAsia" w:hAnsi="Times New Roman"/>
              <w:noProof/>
              <w:sz w:val="22"/>
              <w:szCs w:val="22"/>
            </w:rPr>
          </w:pPr>
          <w:hyperlink w:anchor="_Toc107247772" w:history="1">
            <w:r w:rsidR="00B06B6F" w:rsidRPr="00FC7951">
              <w:rPr>
                <w:rStyle w:val="ab"/>
                <w:rFonts w:ascii="Times New Roman" w:hAnsi="Times New Roman"/>
                <w:noProof/>
              </w:rPr>
              <w:t>7.</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ГРУППА ФИНАНСОВЫХ ПОКАЗАТЕЛЕЙ</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_Toc107247772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8</w:t>
            </w:r>
            <w:r w:rsidR="00B06B6F" w:rsidRPr="00FC7951">
              <w:rPr>
                <w:rFonts w:ascii="Times New Roman" w:hAnsi="Times New Roman"/>
                <w:noProof/>
                <w:webHidden/>
              </w:rPr>
              <w:fldChar w:fldCharType="end"/>
            </w:r>
          </w:hyperlink>
        </w:p>
        <w:p w14:paraId="367E0ABA" w14:textId="77777777" w:rsidR="00B06B6F" w:rsidRPr="00FC7951" w:rsidRDefault="00832349" w:rsidP="00725F19">
          <w:pPr>
            <w:pStyle w:val="11"/>
            <w:rPr>
              <w:rFonts w:ascii="Times New Roman" w:eastAsiaTheme="minorEastAsia" w:hAnsi="Times New Roman"/>
              <w:noProof/>
              <w:sz w:val="22"/>
              <w:szCs w:val="22"/>
            </w:rPr>
          </w:pPr>
          <w:hyperlink w:anchor="_Toc107247773" w:history="1">
            <w:r w:rsidR="00B06B6F" w:rsidRPr="00FC7951">
              <w:rPr>
                <w:rStyle w:val="ab"/>
                <w:rFonts w:ascii="Times New Roman" w:hAnsi="Times New Roman"/>
                <w:noProof/>
              </w:rPr>
              <w:t>8.</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ГРУППА ПОКАЗАТЕЛЕЙ БИЗНЕС-РИСКА</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_Toc107247773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10</w:t>
            </w:r>
            <w:r w:rsidR="00B06B6F" w:rsidRPr="00FC7951">
              <w:rPr>
                <w:rFonts w:ascii="Times New Roman" w:hAnsi="Times New Roman"/>
                <w:noProof/>
                <w:webHidden/>
              </w:rPr>
              <w:fldChar w:fldCharType="end"/>
            </w:r>
          </w:hyperlink>
        </w:p>
        <w:p w14:paraId="1C6E43BC" w14:textId="77777777" w:rsidR="00B06B6F" w:rsidRPr="00FC7951" w:rsidRDefault="00832349" w:rsidP="00725F19">
          <w:pPr>
            <w:pStyle w:val="11"/>
            <w:rPr>
              <w:rFonts w:ascii="Times New Roman" w:eastAsiaTheme="minorEastAsia" w:hAnsi="Times New Roman"/>
              <w:noProof/>
              <w:sz w:val="22"/>
              <w:szCs w:val="22"/>
            </w:rPr>
          </w:pPr>
          <w:hyperlink w:anchor="_Toc107247774" w:history="1">
            <w:r w:rsidR="00B06B6F" w:rsidRPr="00FC7951">
              <w:rPr>
                <w:rStyle w:val="ab"/>
                <w:rFonts w:ascii="Times New Roman" w:hAnsi="Times New Roman"/>
                <w:noProof/>
              </w:rPr>
              <w:t>9.</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ВЕСОВЫЕ КОЭФФИЦИЕНТЫ И ФОРМИРОВАНИЕ ПЕРВИЧНОЙ ОЦЕНКИ</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_Toc107247774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12</w:t>
            </w:r>
            <w:r w:rsidR="00B06B6F" w:rsidRPr="00FC7951">
              <w:rPr>
                <w:rFonts w:ascii="Times New Roman" w:hAnsi="Times New Roman"/>
                <w:noProof/>
                <w:webHidden/>
              </w:rPr>
              <w:fldChar w:fldCharType="end"/>
            </w:r>
          </w:hyperlink>
        </w:p>
        <w:p w14:paraId="4D2945AF" w14:textId="77777777" w:rsidR="00B06B6F" w:rsidRPr="00FC7951" w:rsidRDefault="00832349" w:rsidP="00725F19">
          <w:pPr>
            <w:pStyle w:val="11"/>
            <w:rPr>
              <w:rFonts w:ascii="Times New Roman" w:eastAsiaTheme="minorEastAsia" w:hAnsi="Times New Roman"/>
              <w:noProof/>
              <w:sz w:val="22"/>
              <w:szCs w:val="22"/>
            </w:rPr>
          </w:pPr>
          <w:hyperlink w:anchor="_Toc107247775" w:history="1">
            <w:r w:rsidR="00B06B6F" w:rsidRPr="00FC7951">
              <w:rPr>
                <w:rStyle w:val="ab"/>
                <w:rFonts w:ascii="Times New Roman" w:hAnsi="Times New Roman"/>
                <w:noProof/>
              </w:rPr>
              <w:t>10.</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ОТБОРОЧНАЯ СТАДИЯ</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_Toc107247775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15</w:t>
            </w:r>
            <w:r w:rsidR="00B06B6F" w:rsidRPr="00FC7951">
              <w:rPr>
                <w:rFonts w:ascii="Times New Roman" w:hAnsi="Times New Roman"/>
                <w:noProof/>
                <w:webHidden/>
              </w:rPr>
              <w:fldChar w:fldCharType="end"/>
            </w:r>
          </w:hyperlink>
        </w:p>
        <w:p w14:paraId="436321DE" w14:textId="77777777" w:rsidR="00B06B6F" w:rsidRPr="00FC7951" w:rsidRDefault="00832349" w:rsidP="00725F19">
          <w:pPr>
            <w:pStyle w:val="11"/>
            <w:rPr>
              <w:rFonts w:ascii="Times New Roman" w:eastAsiaTheme="minorEastAsia" w:hAnsi="Times New Roman"/>
              <w:noProof/>
              <w:sz w:val="22"/>
              <w:szCs w:val="22"/>
            </w:rPr>
          </w:pPr>
          <w:hyperlink w:anchor="_Toc107247776" w:history="1">
            <w:r w:rsidR="00B06B6F" w:rsidRPr="00FC7951">
              <w:rPr>
                <w:rStyle w:val="ab"/>
                <w:rFonts w:ascii="Times New Roman" w:hAnsi="Times New Roman"/>
                <w:noProof/>
              </w:rPr>
              <w:t>11.</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ОЦЕНОЧНАЯ СТАДИЯ</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_Toc107247776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17</w:t>
            </w:r>
            <w:r w:rsidR="00B06B6F" w:rsidRPr="00FC7951">
              <w:rPr>
                <w:rFonts w:ascii="Times New Roman" w:hAnsi="Times New Roman"/>
                <w:noProof/>
                <w:webHidden/>
              </w:rPr>
              <w:fldChar w:fldCharType="end"/>
            </w:r>
          </w:hyperlink>
        </w:p>
        <w:p w14:paraId="4D170C94" w14:textId="77777777" w:rsidR="00B06B6F" w:rsidRPr="00FC7951" w:rsidRDefault="00832349" w:rsidP="00725F19">
          <w:pPr>
            <w:pStyle w:val="11"/>
            <w:rPr>
              <w:rFonts w:ascii="Times New Roman" w:eastAsiaTheme="minorEastAsia" w:hAnsi="Times New Roman"/>
              <w:noProof/>
              <w:sz w:val="22"/>
              <w:szCs w:val="22"/>
            </w:rPr>
          </w:pPr>
          <w:hyperlink w:anchor="_Toc107247777" w:history="1">
            <w:r w:rsidR="00B06B6F" w:rsidRPr="00FC7951">
              <w:rPr>
                <w:rStyle w:val="ab"/>
                <w:rFonts w:ascii="Times New Roman" w:hAnsi="Times New Roman"/>
                <w:noProof/>
              </w:rPr>
              <w:t>12.</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НОРМАТИВНЫЕ ССЫЛКИ</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_Toc107247777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18</w:t>
            </w:r>
            <w:r w:rsidR="00B06B6F" w:rsidRPr="00FC7951">
              <w:rPr>
                <w:rFonts w:ascii="Times New Roman" w:hAnsi="Times New Roman"/>
                <w:noProof/>
                <w:webHidden/>
              </w:rPr>
              <w:fldChar w:fldCharType="end"/>
            </w:r>
          </w:hyperlink>
        </w:p>
        <w:p w14:paraId="084A55D2" w14:textId="77777777" w:rsidR="00B06B6F" w:rsidRPr="00FC7951" w:rsidRDefault="00832349" w:rsidP="00725F19">
          <w:pPr>
            <w:pStyle w:val="11"/>
            <w:rPr>
              <w:rFonts w:ascii="Times New Roman" w:eastAsiaTheme="minorEastAsia" w:hAnsi="Times New Roman"/>
              <w:noProof/>
              <w:sz w:val="22"/>
              <w:szCs w:val="22"/>
            </w:rPr>
          </w:pPr>
          <w:hyperlink w:anchor="_Toc107247778" w:history="1">
            <w:r w:rsidR="00B06B6F" w:rsidRPr="00FC7951">
              <w:rPr>
                <w:rStyle w:val="ab"/>
                <w:rFonts w:ascii="Times New Roman" w:hAnsi="Times New Roman"/>
                <w:noProof/>
              </w:rPr>
              <w:t>13.</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КОНТРОЛЬ ВЕРСИЙ ДОКУМЕНТА</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_Toc107247778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18</w:t>
            </w:r>
            <w:r w:rsidR="00B06B6F" w:rsidRPr="00FC7951">
              <w:rPr>
                <w:rFonts w:ascii="Times New Roman" w:hAnsi="Times New Roman"/>
                <w:noProof/>
                <w:webHidden/>
              </w:rPr>
              <w:fldChar w:fldCharType="end"/>
            </w:r>
          </w:hyperlink>
        </w:p>
        <w:p w14:paraId="26CB1AC7" w14:textId="77777777" w:rsidR="00B06B6F" w:rsidRPr="00FC7951" w:rsidRDefault="00832349" w:rsidP="00725F19">
          <w:pPr>
            <w:pStyle w:val="11"/>
            <w:rPr>
              <w:rFonts w:ascii="Times New Roman" w:eastAsiaTheme="minorEastAsia" w:hAnsi="Times New Roman"/>
              <w:noProof/>
              <w:sz w:val="22"/>
              <w:szCs w:val="22"/>
            </w:rPr>
          </w:pPr>
          <w:hyperlink w:anchor="_Toc107247779" w:history="1">
            <w:r w:rsidR="00B06B6F" w:rsidRPr="00FC7951">
              <w:rPr>
                <w:rStyle w:val="ab"/>
                <w:rFonts w:ascii="Times New Roman" w:hAnsi="Times New Roman"/>
                <w:noProof/>
              </w:rPr>
              <w:t>14.</w:t>
            </w:r>
            <w:r w:rsidR="00B06B6F" w:rsidRPr="00FC7951">
              <w:rPr>
                <w:rFonts w:ascii="Times New Roman" w:eastAsiaTheme="minorEastAsia" w:hAnsi="Times New Roman"/>
                <w:noProof/>
                <w:sz w:val="22"/>
                <w:szCs w:val="22"/>
              </w:rPr>
              <w:tab/>
            </w:r>
            <w:r w:rsidR="00B06B6F" w:rsidRPr="00FC7951">
              <w:rPr>
                <w:rStyle w:val="ab"/>
                <w:rFonts w:ascii="Times New Roman" w:hAnsi="Times New Roman"/>
                <w:noProof/>
              </w:rPr>
              <w:t>ПРИЛОЖЕНИЯ</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_Toc107247779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19</w:t>
            </w:r>
            <w:r w:rsidR="00B06B6F" w:rsidRPr="00FC7951">
              <w:rPr>
                <w:rFonts w:ascii="Times New Roman" w:hAnsi="Times New Roman"/>
                <w:noProof/>
                <w:webHidden/>
              </w:rPr>
              <w:fldChar w:fldCharType="end"/>
            </w:r>
          </w:hyperlink>
        </w:p>
        <w:p w14:paraId="58CF14B1" w14:textId="77777777" w:rsidR="00B06B6F" w:rsidRPr="00FC7951" w:rsidRDefault="00832349" w:rsidP="00725F19">
          <w:pPr>
            <w:pStyle w:val="11"/>
            <w:rPr>
              <w:rFonts w:ascii="Times New Roman" w:eastAsiaTheme="minorEastAsia" w:hAnsi="Times New Roman"/>
              <w:noProof/>
              <w:sz w:val="22"/>
              <w:szCs w:val="22"/>
            </w:rPr>
          </w:pPr>
          <w:hyperlink w:anchor="_Toc107247782" w:history="1">
            <w:r w:rsidR="00B06B6F" w:rsidRPr="00FC7951">
              <w:rPr>
                <w:rStyle w:val="ab"/>
                <w:rFonts w:ascii="Times New Roman" w:hAnsi="Times New Roman"/>
                <w:noProof/>
              </w:rPr>
              <w:t>Приложение 1 Разграничение функциональных обязанностей по проведению финансово-экономической экспертизы</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_Toc107247782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20</w:t>
            </w:r>
            <w:r w:rsidR="00B06B6F" w:rsidRPr="00FC7951">
              <w:rPr>
                <w:rFonts w:ascii="Times New Roman" w:hAnsi="Times New Roman"/>
                <w:noProof/>
                <w:webHidden/>
              </w:rPr>
              <w:fldChar w:fldCharType="end"/>
            </w:r>
          </w:hyperlink>
        </w:p>
        <w:p w14:paraId="1B59A052" w14:textId="77777777" w:rsidR="00B06B6F" w:rsidRPr="00FC7951" w:rsidRDefault="00832349" w:rsidP="00725F19">
          <w:pPr>
            <w:pStyle w:val="11"/>
            <w:rPr>
              <w:rFonts w:ascii="Times New Roman" w:eastAsiaTheme="minorEastAsia" w:hAnsi="Times New Roman"/>
              <w:noProof/>
              <w:sz w:val="22"/>
              <w:szCs w:val="22"/>
            </w:rPr>
          </w:pPr>
          <w:hyperlink w:anchor="_Toc107247785" w:history="1">
            <w:r w:rsidR="00B06B6F" w:rsidRPr="00FC7951">
              <w:rPr>
                <w:rStyle w:val="ab"/>
                <w:rFonts w:ascii="Times New Roman" w:hAnsi="Times New Roman"/>
                <w:noProof/>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w:t>
            </w:r>
            <w:r w:rsidR="00B06B6F" w:rsidRPr="00FC7951">
              <w:rPr>
                <w:rStyle w:val="ab"/>
                <w:rFonts w:ascii="Times New Roman" w:hAnsi="Times New Roman"/>
                <w:noProof/>
                <w:lang w:val="en-US"/>
              </w:rPr>
              <w:t>xls</w:t>
            </w:r>
            <w:r w:rsidR="00B06B6F" w:rsidRPr="00FC7951">
              <w:rPr>
                <w:rStyle w:val="ab"/>
                <w:rFonts w:ascii="Times New Roman" w:hAnsi="Times New Roman"/>
                <w:noProof/>
              </w:rPr>
              <w:t>»</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_Toc107247785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22</w:t>
            </w:r>
            <w:r w:rsidR="00B06B6F" w:rsidRPr="00FC7951">
              <w:rPr>
                <w:rFonts w:ascii="Times New Roman" w:hAnsi="Times New Roman"/>
                <w:noProof/>
                <w:webHidden/>
              </w:rPr>
              <w:fldChar w:fldCharType="end"/>
            </w:r>
          </w:hyperlink>
        </w:p>
        <w:p w14:paraId="58683158" w14:textId="77777777" w:rsidR="00B06B6F" w:rsidRPr="00FC7951" w:rsidRDefault="00832349" w:rsidP="00725F19">
          <w:pPr>
            <w:pStyle w:val="11"/>
            <w:rPr>
              <w:rFonts w:ascii="Times New Roman" w:eastAsiaTheme="minorEastAsia" w:hAnsi="Times New Roman"/>
              <w:noProof/>
              <w:sz w:val="22"/>
              <w:szCs w:val="22"/>
            </w:rPr>
          </w:pPr>
          <w:hyperlink w:anchor="_Toc107247786" w:history="1">
            <w:r w:rsidR="00B06B6F" w:rsidRPr="00FC7951">
              <w:rPr>
                <w:rStyle w:val="ab"/>
                <w:rFonts w:ascii="Times New Roman" w:hAnsi="Times New Roman"/>
                <w:noProof/>
              </w:rPr>
              <w:t>Приложение 3 Формат заключения по направлению финансово-экономической экспертизы с использованием шаблона «Финэкспертиза.</w:t>
            </w:r>
            <w:r w:rsidR="00B06B6F" w:rsidRPr="00FC7951">
              <w:rPr>
                <w:rStyle w:val="ab"/>
                <w:rFonts w:ascii="Times New Roman" w:hAnsi="Times New Roman"/>
                <w:noProof/>
                <w:lang w:val="en-US"/>
              </w:rPr>
              <w:t>xls</w:t>
            </w:r>
            <w:r w:rsidR="00B06B6F" w:rsidRPr="00FC7951">
              <w:rPr>
                <w:rStyle w:val="ab"/>
                <w:rFonts w:ascii="Times New Roman" w:hAnsi="Times New Roman"/>
                <w:noProof/>
              </w:rPr>
              <w:t>»</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_Toc107247786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34</w:t>
            </w:r>
            <w:r w:rsidR="00B06B6F" w:rsidRPr="00FC7951">
              <w:rPr>
                <w:rFonts w:ascii="Times New Roman" w:hAnsi="Times New Roman"/>
                <w:noProof/>
                <w:webHidden/>
              </w:rPr>
              <w:fldChar w:fldCharType="end"/>
            </w:r>
          </w:hyperlink>
        </w:p>
        <w:p w14:paraId="3039E8B8" w14:textId="77777777" w:rsidR="00B06B6F" w:rsidRPr="00FC7951" w:rsidRDefault="00832349" w:rsidP="00725F19">
          <w:pPr>
            <w:pStyle w:val="11"/>
            <w:rPr>
              <w:rFonts w:ascii="Times New Roman" w:eastAsiaTheme="minorEastAsia" w:hAnsi="Times New Roman"/>
              <w:noProof/>
              <w:sz w:val="22"/>
              <w:szCs w:val="22"/>
            </w:rPr>
          </w:pPr>
          <w:hyperlink w:anchor="_Toc107247788" w:history="1">
            <w:r w:rsidR="00B06B6F" w:rsidRPr="00FC7951">
              <w:rPr>
                <w:rStyle w:val="ab"/>
                <w:rFonts w:ascii="Times New Roman" w:hAnsi="Times New Roman"/>
                <w:noProof/>
              </w:rPr>
              <w:t>Приложение 4 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r w:rsidR="00B06B6F" w:rsidRPr="00FC7951">
              <w:rPr>
                <w:rFonts w:ascii="Times New Roman" w:hAnsi="Times New Roman"/>
                <w:noProof/>
                <w:webHidden/>
              </w:rPr>
              <w:tab/>
            </w:r>
            <w:r w:rsidR="00B06B6F" w:rsidRPr="00FC7951">
              <w:rPr>
                <w:rFonts w:ascii="Times New Roman" w:hAnsi="Times New Roman"/>
                <w:noProof/>
                <w:webHidden/>
              </w:rPr>
              <w:fldChar w:fldCharType="begin"/>
            </w:r>
            <w:r w:rsidR="00B06B6F" w:rsidRPr="00FC7951">
              <w:rPr>
                <w:rFonts w:ascii="Times New Roman" w:hAnsi="Times New Roman"/>
                <w:noProof/>
                <w:webHidden/>
              </w:rPr>
              <w:instrText xml:space="preserve"> PAGEREF _Toc107247788 \h </w:instrText>
            </w:r>
            <w:r w:rsidR="00B06B6F" w:rsidRPr="00FC7951">
              <w:rPr>
                <w:rFonts w:ascii="Times New Roman" w:hAnsi="Times New Roman"/>
                <w:noProof/>
                <w:webHidden/>
              </w:rPr>
            </w:r>
            <w:r w:rsidR="00B06B6F" w:rsidRPr="00FC7951">
              <w:rPr>
                <w:rFonts w:ascii="Times New Roman" w:hAnsi="Times New Roman"/>
                <w:noProof/>
                <w:webHidden/>
              </w:rPr>
              <w:fldChar w:fldCharType="separate"/>
            </w:r>
            <w:r w:rsidR="00B06B6F" w:rsidRPr="00FC7951">
              <w:rPr>
                <w:rFonts w:ascii="Times New Roman" w:hAnsi="Times New Roman"/>
                <w:noProof/>
                <w:webHidden/>
              </w:rPr>
              <w:t>36</w:t>
            </w:r>
            <w:r w:rsidR="00B06B6F" w:rsidRPr="00FC7951">
              <w:rPr>
                <w:rFonts w:ascii="Times New Roman" w:hAnsi="Times New Roman"/>
                <w:noProof/>
                <w:webHidden/>
              </w:rPr>
              <w:fldChar w:fldCharType="end"/>
            </w:r>
          </w:hyperlink>
        </w:p>
        <w:p w14:paraId="38A195F7" w14:textId="77777777" w:rsidR="00B06B6F" w:rsidRPr="00FC7951" w:rsidRDefault="00B06B6F" w:rsidP="00725F19">
          <w:pPr>
            <w:pStyle w:val="11"/>
            <w:rPr>
              <w:rFonts w:ascii="Times New Roman" w:hAnsi="Times New Roman"/>
            </w:rPr>
          </w:pPr>
          <w:r w:rsidRPr="00FC7951">
            <w:rPr>
              <w:rFonts w:ascii="Times New Roman" w:hAnsi="Times New Roman"/>
            </w:rPr>
            <w:fldChar w:fldCharType="end"/>
          </w:r>
        </w:p>
      </w:sdtContent>
    </w:sdt>
    <w:p w14:paraId="2A02E445" w14:textId="77777777" w:rsidR="00B06B6F" w:rsidRPr="00FC7951" w:rsidRDefault="00B06B6F" w:rsidP="00725F19">
      <w:pPr>
        <w:pStyle w:val="11"/>
        <w:rPr>
          <w:rFonts w:ascii="Times New Roman" w:hAnsi="Times New Roman"/>
          <w:noProof/>
        </w:rPr>
      </w:pPr>
    </w:p>
    <w:p w14:paraId="4BFC061B" w14:textId="77777777" w:rsidR="00B06B6F" w:rsidRPr="00FC7951" w:rsidRDefault="00B06B6F" w:rsidP="00725F19">
      <w:pPr>
        <w:spacing w:after="200" w:line="276" w:lineRule="auto"/>
        <w:rPr>
          <w:rFonts w:ascii="Times New Roman" w:hAnsi="Times New Roman" w:cs="Times New Roman"/>
          <w:b/>
        </w:rPr>
      </w:pPr>
      <w:r w:rsidRPr="00FC7951">
        <w:rPr>
          <w:rFonts w:ascii="Times New Roman" w:hAnsi="Times New Roman" w:cs="Times New Roman"/>
          <w:b/>
        </w:rPr>
        <w:br w:type="page"/>
      </w:r>
    </w:p>
    <w:p w14:paraId="1E8307E3" w14:textId="77777777" w:rsidR="00B06B6F" w:rsidRPr="00FC7951" w:rsidRDefault="00B06B6F" w:rsidP="00725F19">
      <w:pPr>
        <w:pStyle w:val="1"/>
        <w:tabs>
          <w:tab w:val="clear" w:pos="1353"/>
          <w:tab w:val="left" w:pos="1134"/>
          <w:tab w:val="num" w:pos="1418"/>
        </w:tabs>
        <w:ind w:left="0" w:firstLine="709"/>
      </w:pPr>
      <w:bookmarkStart w:id="1" w:name="_Toc107244327"/>
      <w:bookmarkStart w:id="2" w:name="_Toc107247759"/>
      <w:r w:rsidRPr="00FC7951">
        <w:lastRenderedPageBreak/>
        <w:t>ИНФОРМАЦИЯ О ДОКУМЕНТЕ</w:t>
      </w:r>
      <w:bookmarkEnd w:id="1"/>
      <w:bookmarkEnd w:id="2"/>
    </w:p>
    <w:tbl>
      <w:tblPr>
        <w:tblW w:w="9436"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2977"/>
        <w:gridCol w:w="6459"/>
      </w:tblGrid>
      <w:tr w:rsidR="00B06B6F" w:rsidRPr="00FC7951" w14:paraId="4A1B1E02" w14:textId="77777777" w:rsidTr="00725F19">
        <w:trPr>
          <w:trHeight w:val="284"/>
        </w:trPr>
        <w:tc>
          <w:tcPr>
            <w:tcW w:w="2977" w:type="dxa"/>
            <w:shd w:val="clear" w:color="auto" w:fill="FFFFFF"/>
            <w:tcMar>
              <w:left w:w="57" w:type="dxa"/>
              <w:right w:w="57" w:type="dxa"/>
            </w:tcMar>
            <w:vAlign w:val="center"/>
          </w:tcPr>
          <w:p w14:paraId="23D24D48" w14:textId="77777777" w:rsidR="00B06B6F" w:rsidRPr="00FC7951" w:rsidRDefault="00B06B6F" w:rsidP="00725F19">
            <w:pPr>
              <w:pStyle w:val="m0"/>
              <w:rPr>
                <w:b/>
                <w:sz w:val="24"/>
              </w:rPr>
            </w:pPr>
            <w:r w:rsidRPr="00FC7951">
              <w:rPr>
                <w:b/>
                <w:sz w:val="24"/>
              </w:rPr>
              <w:t>Краткое описание документа</w:t>
            </w:r>
          </w:p>
        </w:tc>
        <w:tc>
          <w:tcPr>
            <w:tcW w:w="6459" w:type="dxa"/>
            <w:vAlign w:val="center"/>
          </w:tcPr>
          <w:p w14:paraId="55EB9760" w14:textId="77777777" w:rsidR="00B06B6F" w:rsidRPr="00FC7951" w:rsidRDefault="00B06B6F" w:rsidP="00725F19">
            <w:pPr>
              <w:pStyle w:val="m"/>
              <w:ind w:left="184" w:right="119"/>
            </w:pPr>
            <w:r w:rsidRPr="00FC7951">
              <w:t>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повышение обоснованности принимаемых управленческих решений при проведении закупочной процедуры, в том числе способом «у единственного поставщика»</w:t>
            </w:r>
          </w:p>
        </w:tc>
      </w:tr>
      <w:tr w:rsidR="00B06B6F" w:rsidRPr="00FC7951" w14:paraId="281AFB35" w14:textId="77777777" w:rsidTr="00725F19">
        <w:trPr>
          <w:trHeight w:val="366"/>
        </w:trPr>
        <w:tc>
          <w:tcPr>
            <w:tcW w:w="2977" w:type="dxa"/>
            <w:shd w:val="clear" w:color="auto" w:fill="FFFFFF"/>
            <w:tcMar>
              <w:left w:w="57" w:type="dxa"/>
              <w:right w:w="57" w:type="dxa"/>
            </w:tcMar>
            <w:vAlign w:val="center"/>
          </w:tcPr>
          <w:p w14:paraId="0D5B0E4B" w14:textId="77777777" w:rsidR="00B06B6F" w:rsidRPr="00FC7951" w:rsidRDefault="00B06B6F" w:rsidP="00725F19">
            <w:pPr>
              <w:pStyle w:val="m0"/>
              <w:rPr>
                <w:b/>
                <w:sz w:val="24"/>
              </w:rPr>
            </w:pPr>
            <w:r w:rsidRPr="00FC7951">
              <w:rPr>
                <w:b/>
                <w:sz w:val="24"/>
              </w:rPr>
              <w:t xml:space="preserve">Корпоративный стандарт </w:t>
            </w:r>
          </w:p>
        </w:tc>
        <w:tc>
          <w:tcPr>
            <w:tcW w:w="6459" w:type="dxa"/>
            <w:vAlign w:val="center"/>
          </w:tcPr>
          <w:p w14:paraId="7940055F" w14:textId="77777777" w:rsidR="00B06B6F" w:rsidRPr="00FC7951" w:rsidRDefault="00B06B6F" w:rsidP="00725F19">
            <w:pPr>
              <w:pStyle w:val="m0"/>
              <w:ind w:left="184"/>
              <w:rPr>
                <w:sz w:val="24"/>
                <w:lang w:val="en-US"/>
              </w:rPr>
            </w:pPr>
            <w:r w:rsidRPr="00FC7951">
              <w:rPr>
                <w:sz w:val="24"/>
              </w:rPr>
              <w:t>да</w:t>
            </w:r>
          </w:p>
        </w:tc>
      </w:tr>
      <w:tr w:rsidR="00B06B6F" w:rsidRPr="00FC7951" w14:paraId="749F1617" w14:textId="77777777" w:rsidTr="00725F19">
        <w:trPr>
          <w:trHeight w:val="366"/>
        </w:trPr>
        <w:tc>
          <w:tcPr>
            <w:tcW w:w="2977" w:type="dxa"/>
            <w:shd w:val="clear" w:color="auto" w:fill="FFFFFF"/>
            <w:tcMar>
              <w:left w:w="57" w:type="dxa"/>
              <w:right w:w="57" w:type="dxa"/>
            </w:tcMar>
            <w:vAlign w:val="center"/>
          </w:tcPr>
          <w:p w14:paraId="2E23F719" w14:textId="77777777" w:rsidR="00B06B6F" w:rsidRPr="00FC7951" w:rsidRDefault="00B06B6F" w:rsidP="00725F19">
            <w:pPr>
              <w:pStyle w:val="m0"/>
              <w:rPr>
                <w:b/>
                <w:sz w:val="24"/>
              </w:rPr>
            </w:pPr>
            <w:r w:rsidRPr="00FC7951">
              <w:rPr>
                <w:b/>
                <w:sz w:val="24"/>
              </w:rPr>
              <w:t>Ограничение доступа</w:t>
            </w:r>
          </w:p>
        </w:tc>
        <w:tc>
          <w:tcPr>
            <w:tcW w:w="6459" w:type="dxa"/>
            <w:vAlign w:val="center"/>
          </w:tcPr>
          <w:p w14:paraId="34CB4191" w14:textId="77777777" w:rsidR="00B06B6F" w:rsidRPr="00FC7951" w:rsidRDefault="00B06B6F" w:rsidP="00725F19">
            <w:pPr>
              <w:pStyle w:val="m0"/>
              <w:ind w:left="184"/>
              <w:rPr>
                <w:sz w:val="24"/>
                <w:lang w:val="en-US"/>
              </w:rPr>
            </w:pPr>
            <w:r w:rsidRPr="00FC7951">
              <w:rPr>
                <w:sz w:val="24"/>
              </w:rPr>
              <w:t>нет</w:t>
            </w:r>
          </w:p>
        </w:tc>
      </w:tr>
    </w:tbl>
    <w:p w14:paraId="161F55F6" w14:textId="77777777" w:rsidR="00B06B6F" w:rsidRPr="00FC7951" w:rsidRDefault="00B06B6F" w:rsidP="00725F19">
      <w:pPr>
        <w:rPr>
          <w:rFonts w:ascii="Times New Roman" w:hAnsi="Times New Roman" w:cs="Times New Roman"/>
        </w:rPr>
      </w:pPr>
    </w:p>
    <w:p w14:paraId="4B317D88" w14:textId="77777777" w:rsidR="00B06B6F" w:rsidRPr="00FC7951" w:rsidRDefault="00B06B6F" w:rsidP="00725F19">
      <w:pPr>
        <w:pStyle w:val="1"/>
        <w:tabs>
          <w:tab w:val="clear" w:pos="1353"/>
          <w:tab w:val="left" w:pos="1134"/>
          <w:tab w:val="num" w:pos="1418"/>
        </w:tabs>
        <w:ind w:left="0" w:firstLine="709"/>
      </w:pPr>
      <w:bookmarkStart w:id="3" w:name="_Toc107244328"/>
      <w:bookmarkStart w:id="4" w:name="_Toc107247760"/>
      <w:r w:rsidRPr="00FC7951">
        <w:t>ОТВЕТСТВЕННОСТЬ И ОБЛАСТЬ ПРИМЕНЕНИЯ</w:t>
      </w:r>
      <w:bookmarkEnd w:id="3"/>
      <w:bookmarkEnd w:id="4"/>
    </w:p>
    <w:p w14:paraId="44A9A8F7" w14:textId="77777777" w:rsidR="00B06B6F" w:rsidRPr="00FC7951" w:rsidRDefault="00B06B6F" w:rsidP="00725F19">
      <w:pPr>
        <w:pStyle w:val="m"/>
      </w:pPr>
      <w:r w:rsidRPr="00FC7951">
        <w:t>Настоящий документ регламентирует деятельность следующих подразделений и должностных лиц, включая исполняющих роли:</w:t>
      </w:r>
    </w:p>
    <w:tbl>
      <w:tblPr>
        <w:tblW w:w="9498"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9498"/>
      </w:tblGrid>
      <w:tr w:rsidR="00B06B6F" w:rsidRPr="00FC7951" w14:paraId="669E1473" w14:textId="77777777" w:rsidTr="00DE4B3B">
        <w:trPr>
          <w:trHeight w:val="284"/>
          <w:tblHeader/>
        </w:trPr>
        <w:tc>
          <w:tcPr>
            <w:tcW w:w="9498" w:type="dxa"/>
            <w:shd w:val="clear" w:color="auto" w:fill="D9D9D9"/>
            <w:vAlign w:val="center"/>
          </w:tcPr>
          <w:p w14:paraId="3BC3EE69" w14:textId="77777777" w:rsidR="00B06B6F" w:rsidRPr="00FC7951" w:rsidRDefault="00B06B6F" w:rsidP="00725F19">
            <w:pPr>
              <w:pStyle w:val="m4"/>
              <w:keepNext w:val="0"/>
              <w:jc w:val="both"/>
              <w:rPr>
                <w:highlight w:val="yellow"/>
              </w:rPr>
            </w:pPr>
            <w:r w:rsidRPr="00FC7951">
              <w:t>Наименование подразделения/должности/роли</w:t>
            </w:r>
          </w:p>
        </w:tc>
      </w:tr>
      <w:tr w:rsidR="00B06B6F" w:rsidRPr="00FC7951" w14:paraId="20DDBF61" w14:textId="77777777" w:rsidTr="00DE4B3B">
        <w:trPr>
          <w:trHeight w:val="284"/>
        </w:trPr>
        <w:tc>
          <w:tcPr>
            <w:tcW w:w="9498" w:type="dxa"/>
            <w:shd w:val="clear" w:color="auto" w:fill="auto"/>
            <w:vAlign w:val="center"/>
          </w:tcPr>
          <w:p w14:paraId="5983659B" w14:textId="77777777" w:rsidR="00B06B6F" w:rsidRPr="00FC7951" w:rsidRDefault="00B06B6F" w:rsidP="00725F19">
            <w:pPr>
              <w:pStyle w:val="m0"/>
              <w:jc w:val="both"/>
              <w:rPr>
                <w:b/>
                <w:bCs/>
              </w:rPr>
            </w:pPr>
            <w:r w:rsidRPr="00FC7951">
              <w:rPr>
                <w:bCs/>
              </w:rPr>
              <w:t>Все</w:t>
            </w:r>
            <w:r w:rsidRPr="00FC7951">
              <w:rPr>
                <w:bCs/>
                <w:lang w:val="en-US"/>
              </w:rPr>
              <w:t xml:space="preserve"> </w:t>
            </w:r>
            <w:r w:rsidRPr="00FC7951">
              <w:rPr>
                <w:bCs/>
              </w:rPr>
              <w:t>подразделения Общества</w:t>
            </w:r>
          </w:p>
        </w:tc>
      </w:tr>
    </w:tbl>
    <w:p w14:paraId="04E5A5BC" w14:textId="77777777" w:rsidR="00B06B6F" w:rsidRPr="00FC7951" w:rsidRDefault="00B06B6F" w:rsidP="00725F19">
      <w:pPr>
        <w:rPr>
          <w:rFonts w:ascii="Times New Roman" w:hAnsi="Times New Roman" w:cs="Times New Roman"/>
        </w:rPr>
      </w:pPr>
    </w:p>
    <w:p w14:paraId="7913C54E" w14:textId="77777777" w:rsidR="00B06B6F" w:rsidRPr="00FC7951" w:rsidRDefault="00B06B6F" w:rsidP="00725F19">
      <w:pPr>
        <w:pStyle w:val="1"/>
        <w:tabs>
          <w:tab w:val="clear" w:pos="1353"/>
          <w:tab w:val="left" w:pos="1134"/>
          <w:tab w:val="num" w:pos="1418"/>
        </w:tabs>
        <w:ind w:left="0" w:firstLine="709"/>
      </w:pPr>
      <w:bookmarkStart w:id="5" w:name="_Toc107244329"/>
      <w:bookmarkStart w:id="6" w:name="_Toc107247761"/>
      <w:r w:rsidRPr="00FC7951">
        <w:t>ОПРЕДЕЛЕНИЯ РОЛЕЙ И ТЕРМИНОВ</w:t>
      </w:r>
      <w:bookmarkEnd w:id="5"/>
      <w:bookmarkEnd w:id="6"/>
    </w:p>
    <w:p w14:paraId="06854164" w14:textId="77777777" w:rsidR="00B06B6F" w:rsidRPr="00FC7951" w:rsidRDefault="00B06B6F" w:rsidP="00725F19">
      <w:pPr>
        <w:rPr>
          <w:rFonts w:ascii="Times New Roman" w:hAnsi="Times New Roman" w:cs="Times New Roman"/>
        </w:rPr>
      </w:pPr>
      <w:r w:rsidRPr="00FC7951">
        <w:rPr>
          <w:rFonts w:ascii="Times New Roman" w:hAnsi="Times New Roman" w:cs="Times New Roman"/>
          <w:sz w:val="20"/>
          <w:szCs w:val="20"/>
        </w:rPr>
        <w:t>Остальные определения терминов, сокращений приведены в «Глоссарии» Корпоративного портала.</w:t>
      </w:r>
    </w:p>
    <w:tbl>
      <w:tblPr>
        <w:tblW w:w="5085" w:type="pct"/>
        <w:tblInd w:w="-8"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CellMar>
          <w:top w:w="23" w:type="dxa"/>
          <w:left w:w="23" w:type="dxa"/>
          <w:right w:w="23" w:type="dxa"/>
        </w:tblCellMar>
        <w:tblLook w:val="0000" w:firstRow="0" w:lastRow="0" w:firstColumn="0" w:lastColumn="0" w:noHBand="0" w:noVBand="0"/>
      </w:tblPr>
      <w:tblGrid>
        <w:gridCol w:w="2375"/>
        <w:gridCol w:w="7123"/>
      </w:tblGrid>
      <w:tr w:rsidR="00B06B6F" w:rsidRPr="00FC7951" w14:paraId="76671CC7" w14:textId="77777777" w:rsidTr="00725F19">
        <w:tc>
          <w:tcPr>
            <w:tcW w:w="2375"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412A5D23" w14:textId="77777777" w:rsidR="00B06B6F" w:rsidRPr="00FC7951" w:rsidRDefault="00B06B6F" w:rsidP="00725F19">
            <w:pPr>
              <w:pStyle w:val="TableHeader"/>
              <w:spacing w:before="120" w:after="120" w:line="240" w:lineRule="auto"/>
              <w:rPr>
                <w:rFonts w:ascii="Times New Roman" w:hAnsi="Times New Roman" w:cs="Times New Roman"/>
                <w:szCs w:val="24"/>
              </w:rPr>
            </w:pPr>
            <w:r w:rsidRPr="00FC7951">
              <w:rPr>
                <w:rFonts w:ascii="Times New Roman" w:hAnsi="Times New Roman" w:cs="Times New Roman"/>
                <w:szCs w:val="24"/>
              </w:rPr>
              <w:t>Термины/сокращения</w:t>
            </w:r>
          </w:p>
        </w:tc>
        <w:tc>
          <w:tcPr>
            <w:tcW w:w="7123" w:type="dxa"/>
            <w:tcBorders>
              <w:top w:val="single" w:sz="6" w:space="0" w:color="000000"/>
              <w:left w:val="single" w:sz="6" w:space="0" w:color="000000"/>
              <w:bottom w:val="single" w:sz="6" w:space="0" w:color="000000"/>
              <w:right w:val="single" w:sz="6" w:space="0" w:color="000000"/>
            </w:tcBorders>
            <w:shd w:val="clear" w:color="auto" w:fill="D9D9D9"/>
            <w:tcMar>
              <w:left w:w="23" w:type="dxa"/>
            </w:tcMar>
            <w:vAlign w:val="center"/>
          </w:tcPr>
          <w:p w14:paraId="1143F051" w14:textId="77777777" w:rsidR="00B06B6F" w:rsidRPr="00FC7951" w:rsidRDefault="00B06B6F" w:rsidP="00725F19">
            <w:pPr>
              <w:pStyle w:val="TableHeader"/>
              <w:spacing w:before="120" w:after="120" w:line="240" w:lineRule="auto"/>
              <w:rPr>
                <w:rFonts w:ascii="Times New Roman" w:hAnsi="Times New Roman" w:cs="Times New Roman"/>
                <w:szCs w:val="24"/>
              </w:rPr>
            </w:pPr>
            <w:r w:rsidRPr="00FC7951">
              <w:rPr>
                <w:rFonts w:ascii="Times New Roman" w:hAnsi="Times New Roman" w:cs="Times New Roman"/>
                <w:szCs w:val="24"/>
              </w:rPr>
              <w:t>Определения</w:t>
            </w:r>
          </w:p>
        </w:tc>
      </w:tr>
      <w:tr w:rsidR="00B06B6F" w:rsidRPr="00FC7951" w14:paraId="4E7B4B78" w14:textId="77777777" w:rsidTr="00725F19">
        <w:tc>
          <w:tcPr>
            <w:tcW w:w="9498"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6CC7F7D3" w14:textId="77777777" w:rsidR="00B06B6F" w:rsidRPr="00FC7951" w:rsidRDefault="00B06B6F" w:rsidP="00725F19">
            <w:pPr>
              <w:pStyle w:val="TableSubheader"/>
              <w:jc w:val="left"/>
              <w:rPr>
                <w:rFonts w:ascii="Times New Roman" w:hAnsi="Times New Roman" w:cs="Times New Roman"/>
                <w:szCs w:val="24"/>
              </w:rPr>
            </w:pPr>
            <w:r w:rsidRPr="00FC7951">
              <w:rPr>
                <w:rFonts w:ascii="Times New Roman" w:hAnsi="Times New Roman" w:cs="Times New Roman"/>
                <w:bCs/>
                <w:szCs w:val="24"/>
              </w:rPr>
              <w:t>Вводимые определения:</w:t>
            </w:r>
          </w:p>
        </w:tc>
      </w:tr>
      <w:tr w:rsidR="00B06B6F" w:rsidRPr="00FC7951" w14:paraId="229D3DB0" w14:textId="77777777" w:rsidTr="00725F19">
        <w:tc>
          <w:tcPr>
            <w:tcW w:w="9498" w:type="dxa"/>
            <w:gridSpan w:val="2"/>
            <w:tcBorders>
              <w:top w:val="single" w:sz="6" w:space="0" w:color="000000"/>
              <w:left w:val="single" w:sz="6" w:space="0" w:color="000000"/>
              <w:bottom w:val="single" w:sz="6" w:space="0" w:color="000000"/>
              <w:right w:val="single" w:sz="6" w:space="0" w:color="000000"/>
            </w:tcBorders>
            <w:shd w:val="clear" w:color="auto" w:fill="D9D9D9"/>
            <w:tcMar>
              <w:left w:w="23" w:type="dxa"/>
            </w:tcMar>
          </w:tcPr>
          <w:p w14:paraId="6B0B1122" w14:textId="77777777" w:rsidR="00B06B6F" w:rsidRPr="00FC7951" w:rsidRDefault="00B06B6F" w:rsidP="00725F19">
            <w:pPr>
              <w:pStyle w:val="TableSubheader"/>
              <w:jc w:val="left"/>
              <w:rPr>
                <w:rFonts w:ascii="Times New Roman" w:hAnsi="Times New Roman" w:cs="Times New Roman"/>
                <w:szCs w:val="24"/>
              </w:rPr>
            </w:pPr>
            <w:r w:rsidRPr="00FC7951">
              <w:rPr>
                <w:rFonts w:ascii="Times New Roman" w:hAnsi="Times New Roman" w:cs="Times New Roman"/>
                <w:bCs/>
                <w:color w:val="auto"/>
                <w:szCs w:val="24"/>
              </w:rPr>
              <w:t>Действующие определения:</w:t>
            </w:r>
          </w:p>
        </w:tc>
      </w:tr>
      <w:tr w:rsidR="00B06B6F" w:rsidRPr="00FC7951" w14:paraId="5FE075DD"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055457FE" w14:textId="77777777" w:rsidR="00B06B6F" w:rsidRPr="00FC7951" w:rsidRDefault="00B06B6F" w:rsidP="00725F19">
            <w:pPr>
              <w:pStyle w:val="TableText"/>
              <w:tabs>
                <w:tab w:val="left" w:pos="2010"/>
              </w:tabs>
              <w:rPr>
                <w:rFonts w:ascii="Times New Roman" w:hAnsi="Times New Roman" w:cs="Times New Roman"/>
                <w:szCs w:val="24"/>
                <w:highlight w:val="yellow"/>
              </w:rPr>
            </w:pPr>
            <w:r w:rsidRPr="00FC7951">
              <w:rPr>
                <w:rFonts w:ascii="Times New Roman" w:hAnsi="Times New Roman" w:cs="Times New Roman"/>
                <w:szCs w:val="24"/>
              </w:rPr>
              <w:t>Группа «Интер РАО» (Группа)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FC05097" w14:textId="77777777" w:rsidR="00B06B6F" w:rsidRPr="00FC7951" w:rsidRDefault="00B06B6F" w:rsidP="00725F19">
            <w:pPr>
              <w:pStyle w:val="TableText"/>
              <w:tabs>
                <w:tab w:val="left" w:pos="2604"/>
              </w:tabs>
              <w:jc w:val="both"/>
              <w:rPr>
                <w:rFonts w:ascii="Times New Roman" w:hAnsi="Times New Roman" w:cs="Times New Roman"/>
                <w:szCs w:val="24"/>
              </w:rPr>
            </w:pPr>
            <w:r w:rsidRPr="00FC7951">
              <w:rPr>
                <w:rFonts w:ascii="Times New Roman" w:hAnsi="Times New Roman" w:cs="Times New Roman"/>
                <w:szCs w:val="24"/>
              </w:rPr>
              <w:t>ПАО «Интер РАО» и его ДО</w:t>
            </w:r>
          </w:p>
        </w:tc>
      </w:tr>
      <w:tr w:rsidR="00B06B6F" w:rsidRPr="00FC7951" w14:paraId="35C1E8B5"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4116844A"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Финансово-экономическая экспертиза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7DDDF08"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Оценка устойчивости участников закупочных процедур с позиции финансово-экономических критериев, проводимая для определения соответствия и </w:t>
            </w:r>
            <w:r w:rsidRPr="00FC7951">
              <w:rPr>
                <w:rFonts w:ascii="Times New Roman" w:hAnsi="Times New Roman" w:cs="Times New Roman"/>
                <w:color w:val="auto"/>
                <w:szCs w:val="24"/>
              </w:rPr>
              <w:t>ранжирования</w:t>
            </w:r>
            <w:r w:rsidRPr="00FC7951">
              <w:rPr>
                <w:rStyle w:val="af7"/>
                <w:rFonts w:ascii="Times New Roman" w:hAnsi="Times New Roman" w:cs="Times New Roman"/>
                <w:color w:val="auto"/>
                <w:szCs w:val="24"/>
              </w:rPr>
              <w:footnoteReference w:id="1"/>
            </w:r>
            <w:r w:rsidRPr="00FC7951">
              <w:rPr>
                <w:rFonts w:ascii="Times New Roman" w:hAnsi="Times New Roman" w:cs="Times New Roman"/>
                <w:szCs w:val="24"/>
              </w:rPr>
              <w:t xml:space="preserve"> предложений участников закупочных процедур в рамках деятельности экспертной группы и/или закупочной комиссии/ЦЗК/ЕИО Общества</w:t>
            </w:r>
          </w:p>
        </w:tc>
      </w:tr>
      <w:tr w:rsidR="00B06B6F" w:rsidRPr="00FC7951" w14:paraId="376288B1"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6B09476F"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Дочернее общество/ДО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E066BCD"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Хозяйственное общество, в котором Общество в силу преобладающего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tc>
      </w:tr>
      <w:tr w:rsidR="00B06B6F" w:rsidRPr="00FC7951" w14:paraId="7D91B16C"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A22B362"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Закупка (процедура закупки, закупочная процедура)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048A294"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Последовательность действий Заказчика и/или Организатора закупок, осуществляемых в порядке, предусмотренным Положением о порядке проведения регламентированных закупок товаров, работ, услуг, по определению поставщиков в целях </w:t>
            </w:r>
            <w:r w:rsidRPr="00FC7951">
              <w:rPr>
                <w:rFonts w:ascii="Times New Roman" w:hAnsi="Times New Roman" w:cs="Times New Roman"/>
                <w:szCs w:val="24"/>
              </w:rPr>
              <w:lastRenderedPageBreak/>
              <w:t>заключения с ними договоров на поставки товаров, выполнение работ, оказания услуг</w:t>
            </w:r>
          </w:p>
        </w:tc>
      </w:tr>
      <w:tr w:rsidR="00B06B6F" w:rsidRPr="00FC7951" w14:paraId="3286104A" w14:textId="77777777" w:rsidTr="00725F19">
        <w:tc>
          <w:tcPr>
            <w:tcW w:w="2375" w:type="dxa"/>
            <w:tcBorders>
              <w:top w:val="single" w:sz="6" w:space="0" w:color="000000"/>
              <w:left w:val="single" w:sz="6" w:space="0" w:color="000000"/>
              <w:bottom w:val="single" w:sz="6" w:space="0" w:color="000000"/>
              <w:right w:val="single" w:sz="6" w:space="0" w:color="000000"/>
            </w:tcBorders>
            <w:shd w:val="clear" w:color="auto" w:fill="auto"/>
            <w:tcMar>
              <w:left w:w="23" w:type="dxa"/>
            </w:tcMar>
          </w:tcPr>
          <w:p w14:paraId="59507C23"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lastRenderedPageBreak/>
              <w:t>Кредитный риск</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7FB73556"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Риск потерь вследствие неисполнения или ненадлежащего исполнения контрагентами Общества своих финансовых обязательств</w:t>
            </w:r>
          </w:p>
        </w:tc>
      </w:tr>
      <w:tr w:rsidR="00B06B6F" w:rsidRPr="00FC7951" w14:paraId="66978F10"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C2BBE06" w14:textId="77777777" w:rsidR="00B06B6F" w:rsidRPr="00FC7951" w:rsidRDefault="00B06B6F" w:rsidP="00725F19">
            <w:pPr>
              <w:pStyle w:val="TableText"/>
              <w:tabs>
                <w:tab w:val="left" w:pos="2010"/>
              </w:tabs>
              <w:rPr>
                <w:rFonts w:ascii="Times New Roman" w:hAnsi="Times New Roman" w:cs="Times New Roman"/>
                <w:szCs w:val="24"/>
                <w:highlight w:val="yellow"/>
              </w:rPr>
            </w:pPr>
            <w:r w:rsidRPr="00FC7951">
              <w:rPr>
                <w:rFonts w:ascii="Times New Roman" w:hAnsi="Times New Roman" w:cs="Times New Roman"/>
                <w:szCs w:val="24"/>
              </w:rPr>
              <w:t>Общество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525CF8A" w14:textId="77777777" w:rsidR="00B06B6F" w:rsidRPr="00FC7951" w:rsidRDefault="00FC7951" w:rsidP="00725F19">
            <w:pPr>
              <w:pStyle w:val="TableText"/>
              <w:tabs>
                <w:tab w:val="left" w:pos="2604"/>
              </w:tabs>
              <w:ind w:right="115"/>
              <w:jc w:val="both"/>
              <w:rPr>
                <w:rFonts w:ascii="Times New Roman" w:hAnsi="Times New Roman" w:cs="Times New Roman"/>
                <w:szCs w:val="24"/>
              </w:rPr>
            </w:pPr>
            <w:r>
              <w:rPr>
                <w:rFonts w:ascii="Times New Roman" w:hAnsi="Times New Roman" w:cs="Times New Roman"/>
                <w:szCs w:val="24"/>
              </w:rPr>
              <w:t>АО «ЕИРЦ ЛО»</w:t>
            </w:r>
          </w:p>
        </w:tc>
      </w:tr>
      <w:tr w:rsidR="00B06B6F" w:rsidRPr="00FC7951" w14:paraId="1BC1D3A5"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F583FEA"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Промежуточная бухгалтерская отчетность</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798CB73"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color w:val="auto"/>
                <w:lang w:eastAsia="en-US"/>
              </w:rPr>
              <w:t>Бухгалтерская отчетность, сформированная по состоянию на 31.03, 30.06, 30.09 текущего года</w:t>
            </w:r>
          </w:p>
        </w:tc>
      </w:tr>
      <w:tr w:rsidR="00B06B6F" w:rsidRPr="00FC7951" w14:paraId="4A6BC00D"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75E124C0"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lang w:eastAsia="en-US"/>
              </w:rPr>
              <w:t>Последняя отчетная дата незавершенного финансового года</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94BC259"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Ближайшая к рассмотрению финансовых показателей дата, по состоянию на которую в рамках незавершенного финансового года может быть сформирована бухгалтерская отчетность</w:t>
            </w:r>
          </w:p>
        </w:tc>
      </w:tr>
      <w:tr w:rsidR="00B06B6F" w:rsidRPr="00FC7951" w14:paraId="7C8969A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22B385E5"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lang w:eastAsia="en-US"/>
              </w:rPr>
              <w:t>МСП</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C246D7E"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Субъекты малого и среднего предпринимательства</w:t>
            </w:r>
          </w:p>
        </w:tc>
      </w:tr>
      <w:tr w:rsidR="00B06B6F" w:rsidRPr="00FC7951" w14:paraId="47247384"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3EA7985E"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Риск-фактор*</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3E8D207F"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Фактор, реализация которого может являться основанием для понижения итоговой оценки финансово-экономической устойчивости</w:t>
            </w:r>
          </w:p>
        </w:tc>
      </w:tr>
      <w:tr w:rsidR="00B06B6F" w:rsidRPr="00FC7951" w14:paraId="1BF49E5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5C705E73"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Стоп-фактор*</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DE45743"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Фактор, реализация которого должна являться основанием для отклонения предложения участника закупочной процедуры и принятия решения о несоответствии</w:t>
            </w:r>
          </w:p>
        </w:tc>
      </w:tr>
      <w:tr w:rsidR="00B06B6F" w:rsidRPr="00FC7951" w14:paraId="3C3BFBDA"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26BA396"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Участник закупки*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466F7082"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ВНД Общества и/или закупочной документации</w:t>
            </w:r>
          </w:p>
        </w:tc>
      </w:tr>
      <w:tr w:rsidR="00B06B6F" w:rsidRPr="00FC7951" w14:paraId="4AA713FE"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64399EC1"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ЕГРН*</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118C33AC"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Единый государственный реестр недвижимости – федеральная информационная система, в которую вносятся сведения о всех объектах недвижимости на территории России и их собственниках</w:t>
            </w:r>
          </w:p>
        </w:tc>
      </w:tr>
      <w:tr w:rsidR="00B06B6F" w:rsidRPr="00FC7951" w14:paraId="0164C143"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06B6CE32" w14:textId="77777777" w:rsidR="00B06B6F" w:rsidRPr="00FC7951" w:rsidRDefault="00B06B6F" w:rsidP="00725F19">
            <w:pPr>
              <w:pStyle w:val="TableText"/>
              <w:tabs>
                <w:tab w:val="left" w:pos="2010"/>
              </w:tabs>
              <w:rPr>
                <w:rFonts w:ascii="Times New Roman" w:hAnsi="Times New Roman" w:cs="Times New Roman"/>
                <w:szCs w:val="24"/>
                <w:lang w:eastAsia="en-US"/>
              </w:rPr>
            </w:pPr>
            <w:r w:rsidRPr="00FC7951">
              <w:rPr>
                <w:rFonts w:ascii="Times New Roman" w:hAnsi="Times New Roman" w:cs="Times New Roman"/>
                <w:szCs w:val="24"/>
                <w:lang w:eastAsia="en-US"/>
              </w:rPr>
              <w:t xml:space="preserve">Выписки из ЕГРН </w:t>
            </w:r>
          </w:p>
          <w:p w14:paraId="2E10FC41"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lang w:eastAsia="en-US"/>
              </w:rPr>
              <w:t>(об основных характеристиках и зарегистрированных правах на объект недвижимости, об объекте недвижимости)*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CAA03E8"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lang w:eastAsia="en-US"/>
              </w:rPr>
              <w:t>Документы, содержащие информацию об основных характеристиках недвижимого имущества (адрес, кадастровые данные (в т.ч. кадастровую стоимость), площадь, собственники, наличие обременений, сведения о зарегистрированных правах)</w:t>
            </w:r>
          </w:p>
        </w:tc>
      </w:tr>
      <w:tr w:rsidR="00B06B6F" w:rsidRPr="00FC7951" w14:paraId="5D7CC98E"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156E2FC"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БКИ*</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4D4EA780"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 xml:space="preserve">Бюро кредитных историй - юридическое лицо, зарегистрированное в соответствии с законодательством Российской Федерации, являющееся коммерческой организацией и оказывающее в соответствии с Федеральным законом от 30.12.2004 № 218-ФЗ «О кредитных историях» услуги по формированию, обработке и </w:t>
            </w:r>
            <w:r w:rsidRPr="00FC7951">
              <w:rPr>
                <w:rFonts w:ascii="Times New Roman" w:hAnsi="Times New Roman" w:cs="Times New Roman"/>
                <w:szCs w:val="24"/>
              </w:rPr>
              <w:lastRenderedPageBreak/>
              <w:t>хранению кредитных историй, а также по предоставлению кредитных отчётов и сопутствующих услуг.</w:t>
            </w:r>
          </w:p>
        </w:tc>
      </w:tr>
      <w:tr w:rsidR="00B06B6F" w:rsidRPr="00FC7951" w14:paraId="552D6379"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174D2BE6"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lastRenderedPageBreak/>
              <w:t>Выписка из БКИ (кредитный отчет)*</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0699CBD5" w14:textId="77777777" w:rsidR="00B06B6F" w:rsidRPr="00FC7951" w:rsidRDefault="00B06B6F" w:rsidP="00725F19">
            <w:pPr>
              <w:pStyle w:val="TableText"/>
              <w:tabs>
                <w:tab w:val="left" w:pos="2604"/>
              </w:tabs>
              <w:ind w:right="115"/>
              <w:jc w:val="both"/>
              <w:rPr>
                <w:rFonts w:ascii="Times New Roman" w:hAnsi="Times New Roman" w:cs="Times New Roman"/>
                <w:szCs w:val="24"/>
              </w:rPr>
            </w:pPr>
            <w:r w:rsidRPr="00FC7951">
              <w:rPr>
                <w:rFonts w:ascii="Times New Roman" w:hAnsi="Times New Roman" w:cs="Times New Roman"/>
                <w:szCs w:val="24"/>
              </w:rPr>
              <w:t>Отчет, в котором отражено качество обслуживания кредитов заемщиком. Отчет носит конфиденциальный характер, поэтому предоставляется только пользователю. Для того, чтобы кредитор смог получить сведения, клиент должен дать согласие.</w:t>
            </w:r>
          </w:p>
        </w:tc>
      </w:tr>
      <w:tr w:rsidR="00B06B6F" w:rsidRPr="00FC7951" w14:paraId="083FA817" w14:textId="77777777" w:rsidTr="00725F19">
        <w:tc>
          <w:tcPr>
            <w:tcW w:w="2375" w:type="dxa"/>
            <w:tcBorders>
              <w:top w:val="single" w:sz="6" w:space="0" w:color="000000"/>
              <w:left w:val="single" w:sz="6" w:space="0" w:color="000000"/>
              <w:bottom w:val="single" w:sz="6" w:space="0" w:color="000000"/>
              <w:right w:val="single" w:sz="6" w:space="0" w:color="000000"/>
            </w:tcBorders>
            <w:tcMar>
              <w:left w:w="23" w:type="dxa"/>
            </w:tcMar>
          </w:tcPr>
          <w:p w14:paraId="494E0288" w14:textId="77777777" w:rsidR="00B06B6F" w:rsidRPr="00FC7951" w:rsidRDefault="00B06B6F" w:rsidP="00725F19">
            <w:pPr>
              <w:pStyle w:val="TableText"/>
              <w:tabs>
                <w:tab w:val="left" w:pos="2010"/>
              </w:tabs>
              <w:rPr>
                <w:rFonts w:ascii="Times New Roman" w:hAnsi="Times New Roman" w:cs="Times New Roman"/>
                <w:szCs w:val="24"/>
              </w:rPr>
            </w:pPr>
            <w:r w:rsidRPr="00FC7951">
              <w:rPr>
                <w:rFonts w:ascii="Times New Roman" w:hAnsi="Times New Roman" w:cs="Times New Roman"/>
                <w:szCs w:val="24"/>
              </w:rPr>
              <w:t>Законодательство*</w:t>
            </w:r>
          </w:p>
        </w:tc>
        <w:tc>
          <w:tcPr>
            <w:tcW w:w="7123" w:type="dxa"/>
            <w:tcBorders>
              <w:top w:val="single" w:sz="6" w:space="0" w:color="000000"/>
              <w:left w:val="single" w:sz="6" w:space="0" w:color="000000"/>
              <w:bottom w:val="single" w:sz="6" w:space="0" w:color="000000"/>
              <w:right w:val="single" w:sz="6" w:space="0" w:color="000000"/>
            </w:tcBorders>
            <w:tcMar>
              <w:left w:w="23" w:type="dxa"/>
            </w:tcMar>
          </w:tcPr>
          <w:p w14:paraId="50C3F29F" w14:textId="77777777" w:rsidR="00B06B6F" w:rsidRPr="00FC7951" w:rsidRDefault="00B06B6F" w:rsidP="00725F19">
            <w:pPr>
              <w:pStyle w:val="TableText"/>
              <w:tabs>
                <w:tab w:val="left" w:pos="2604"/>
              </w:tabs>
              <w:jc w:val="both"/>
              <w:rPr>
                <w:rFonts w:ascii="Times New Roman" w:hAnsi="Times New Roman" w:cs="Times New Roman"/>
                <w:szCs w:val="24"/>
              </w:rPr>
            </w:pPr>
            <w:r w:rsidRPr="00FC7951">
              <w:rPr>
                <w:rFonts w:ascii="Times New Roman" w:hAnsi="Times New Roman" w:cs="Times New Roman"/>
                <w:szCs w:val="24"/>
              </w:rPr>
              <w:t>Законодательство Российской Федерации</w:t>
            </w:r>
          </w:p>
        </w:tc>
      </w:tr>
    </w:tbl>
    <w:p w14:paraId="0D20242B" w14:textId="77777777" w:rsidR="00B06B6F" w:rsidRPr="00FC7951" w:rsidRDefault="00B06B6F" w:rsidP="00725F19">
      <w:pPr>
        <w:spacing w:after="120"/>
        <w:rPr>
          <w:rFonts w:ascii="Times New Roman" w:eastAsia="Arial" w:hAnsi="Times New Roman" w:cs="Times New Roman"/>
          <w:color w:val="000000"/>
        </w:rPr>
      </w:pPr>
      <w:r w:rsidRPr="00FC7951">
        <w:rPr>
          <w:rFonts w:ascii="Times New Roman" w:eastAsia="Arial" w:hAnsi="Times New Roman" w:cs="Times New Roman"/>
          <w:color w:val="000000"/>
        </w:rPr>
        <w:t>*используется только для данного ВНД и не является частью Корпоративного глоссария</w:t>
      </w:r>
    </w:p>
    <w:p w14:paraId="251846BC" w14:textId="77777777" w:rsidR="00B06B6F" w:rsidRPr="00FC7951" w:rsidRDefault="00B06B6F" w:rsidP="00725F19">
      <w:pPr>
        <w:pStyle w:val="ac"/>
        <w:tabs>
          <w:tab w:val="left" w:pos="1134"/>
        </w:tabs>
        <w:ind w:left="0" w:firstLine="709"/>
        <w:jc w:val="both"/>
      </w:pPr>
    </w:p>
    <w:p w14:paraId="2F5E6E38" w14:textId="77777777" w:rsidR="00B06B6F" w:rsidRPr="00FC7951" w:rsidRDefault="00B06B6F" w:rsidP="00725F19">
      <w:pPr>
        <w:pStyle w:val="1"/>
        <w:tabs>
          <w:tab w:val="clear" w:pos="1353"/>
          <w:tab w:val="left" w:pos="1134"/>
          <w:tab w:val="num" w:pos="1418"/>
        </w:tabs>
        <w:ind w:left="0" w:firstLine="709"/>
      </w:pPr>
      <w:bookmarkStart w:id="7" w:name="_Toc107244330"/>
      <w:bookmarkStart w:id="8" w:name="_Toc107247762"/>
      <w:r w:rsidRPr="00FC7951">
        <w:t>НАЗНАЧЕНИЕ</w:t>
      </w:r>
      <w:bookmarkEnd w:id="7"/>
      <w:bookmarkEnd w:id="8"/>
    </w:p>
    <w:p w14:paraId="54B71E9A" w14:textId="77777777" w:rsidR="00B06B6F" w:rsidRPr="00725F19" w:rsidRDefault="00B06B6F" w:rsidP="00725F19">
      <w:pPr>
        <w:pStyle w:val="ac"/>
        <w:numPr>
          <w:ilvl w:val="1"/>
          <w:numId w:val="1"/>
        </w:numPr>
        <w:tabs>
          <w:tab w:val="left" w:pos="1134"/>
        </w:tabs>
        <w:ind w:left="1801" w:hanging="1092"/>
        <w:jc w:val="both"/>
      </w:pPr>
      <w:r w:rsidRPr="00725F19">
        <w:t>Назначение</w:t>
      </w:r>
    </w:p>
    <w:p w14:paraId="101DE5FF" w14:textId="77777777" w:rsidR="00B06B6F" w:rsidRPr="00725F19"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Экспертиза финансово-экономической устойчивости участников закупочных процедур, а также предлагаемых ими финансовых условий сделки (финансово-экономическая экспертиза) проводится Обществом в рамках закупочной деятельности и заключения договоров во избежание потерь и с целью ограничения подверженности Общества кредитному риску, в том числе для выявления и отклонения таких участников закупочных процедур, которые заведомо неспособны исполнить свои обязательства.</w:t>
      </w:r>
    </w:p>
    <w:p w14:paraId="660D1843" w14:textId="77777777" w:rsidR="00B06B6F" w:rsidRPr="00725F19"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Настоящая Методика направлена на формирование единого подхода к проведению финансово-экономической экспертизы, стандартизацию набора используемых отборочных и оценочных критериев, достижение сопоставимости оценок, полученных экспертными группами и/или закупочными комиссиями / ЦЗК / ЕИО Общества, повышение обоснованности принимаемых управленческих решений по ранжированию (здесь и далее - ранжирование предложений применяется при проведении конкурентных процедур и/или при необходимости) предложений участников и выбору победителя при проведении закупочной процедуры, в том числе способом «у единственного поставщика»..</w:t>
      </w:r>
    </w:p>
    <w:p w14:paraId="1F68BE20" w14:textId="77777777" w:rsidR="00B06B6F" w:rsidRPr="00725F19" w:rsidRDefault="00B06B6F" w:rsidP="00725F19">
      <w:pPr>
        <w:pStyle w:val="ac"/>
        <w:numPr>
          <w:ilvl w:val="1"/>
          <w:numId w:val="1"/>
        </w:numPr>
        <w:tabs>
          <w:tab w:val="left" w:pos="1134"/>
        </w:tabs>
        <w:spacing w:before="120" w:after="120"/>
        <w:ind w:left="0" w:firstLine="709"/>
      </w:pPr>
      <w:r w:rsidRPr="00725F19">
        <w:t>Методика устанавливает набор и значимость отборочных и оценочных критериев при проведении финансово-экономической экспертизы.</w:t>
      </w:r>
    </w:p>
    <w:p w14:paraId="105287CD" w14:textId="77777777" w:rsidR="00B06B6F" w:rsidRPr="00725F19" w:rsidRDefault="00B06B6F" w:rsidP="00725F19">
      <w:pPr>
        <w:pStyle w:val="ac"/>
        <w:numPr>
          <w:ilvl w:val="1"/>
          <w:numId w:val="1"/>
        </w:numPr>
        <w:tabs>
          <w:tab w:val="left" w:pos="1134"/>
        </w:tabs>
        <w:ind w:left="0" w:firstLine="709"/>
        <w:jc w:val="both"/>
      </w:pPr>
      <w:r w:rsidRPr="00725F19">
        <w:t>Область применения</w:t>
      </w:r>
    </w:p>
    <w:p w14:paraId="49308376" w14:textId="77777777" w:rsidR="00B06B6F" w:rsidRPr="00725F19" w:rsidRDefault="00B06B6F" w:rsidP="00725F19">
      <w:pPr>
        <w:numPr>
          <w:ilvl w:val="0"/>
          <w:numId w:val="2"/>
        </w:numPr>
        <w:tabs>
          <w:tab w:val="left" w:pos="1134"/>
        </w:tabs>
        <w:spacing w:before="120"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Методика применяется экспертом, привлеченным для оценки финансово-экономической устойчивости участников закупочной процедуры в рамках деятельности экспертной группы и/или закупочной комиссии / ЦЗК / ЕИО Общества по оценке и ранжированию предложений участников закупочной процедуры (далее - Эксперт). Разграничение функциональных ролей между экспертами по проведению финансово-экономической экспертизы, осуществлению последующего контроля и оценке эффективности мероприятий приводится в Приложении №1 к Методике.</w:t>
      </w:r>
    </w:p>
    <w:p w14:paraId="6530245A" w14:textId="77777777" w:rsidR="00B06B6F" w:rsidRPr="00725F19" w:rsidRDefault="00B06B6F" w:rsidP="00725F19">
      <w:pPr>
        <w:numPr>
          <w:ilvl w:val="0"/>
          <w:numId w:val="2"/>
        </w:numPr>
        <w:tabs>
          <w:tab w:val="left" w:pos="1134"/>
        </w:tabs>
        <w:spacing w:before="120"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Действие Методики распространяется на:</w:t>
      </w:r>
    </w:p>
    <w:p w14:paraId="02EF6C69"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экспертов, привлеченных для проведения экспертизы финансово-экономической устойчивости участников закупочных процедур,</w:t>
      </w:r>
    </w:p>
    <w:p w14:paraId="361EB836"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на работников, использующих результаты указанной экспертизы при ранжировании предложений участников закупочной процедуры (членов закупочной комиссии / ЦЗК / ЕИО Общества),</w:t>
      </w:r>
    </w:p>
    <w:p w14:paraId="538DAEB5" w14:textId="77777777" w:rsidR="00B06B6F" w:rsidRPr="00725F19" w:rsidRDefault="00B06B6F" w:rsidP="00725F19">
      <w:pPr>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725F19">
        <w:rPr>
          <w:rFonts w:ascii="Times New Roman" w:hAnsi="Times New Roman" w:cs="Times New Roman"/>
          <w:sz w:val="24"/>
          <w:szCs w:val="24"/>
        </w:rPr>
        <w:t xml:space="preserve"> на работников, осуществляющих последующий контроль и оценку эффективности мероприятий по проведению финансово-экономической экспертизы.</w:t>
      </w:r>
    </w:p>
    <w:p w14:paraId="7D744458" w14:textId="77777777" w:rsidR="00B06B6F" w:rsidRDefault="00B06B6F" w:rsidP="00725F19">
      <w:pPr>
        <w:numPr>
          <w:ilvl w:val="0"/>
          <w:numId w:val="2"/>
        </w:numPr>
        <w:tabs>
          <w:tab w:val="left" w:pos="1134"/>
        </w:tabs>
        <w:spacing w:after="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При заключении Обществом договоров без организации конкурентных закупочных процедур (в частности, закупки способом «упрощенная процедура закупки» и </w:t>
      </w:r>
      <w:r w:rsidRPr="00725F19">
        <w:rPr>
          <w:rFonts w:ascii="Times New Roman" w:hAnsi="Times New Roman" w:cs="Times New Roman"/>
          <w:sz w:val="24"/>
          <w:szCs w:val="24"/>
        </w:rPr>
        <w:lastRenderedPageBreak/>
        <w:t>«у единственного поставщика») оценка финансовой устойчивости контрагента проводится в соответствии с настоящей Методикой согласно разграничению функциональных обязанностей по проведению финансово-экономической экспертизы, определённому Приложением 1 к Методике, и внутренними нормативными документами Группы.</w:t>
      </w:r>
    </w:p>
    <w:p w14:paraId="706EE811" w14:textId="77777777" w:rsidR="00725F19" w:rsidRPr="00725F19" w:rsidRDefault="00725F19" w:rsidP="00725F19">
      <w:pPr>
        <w:tabs>
          <w:tab w:val="left" w:pos="1134"/>
        </w:tabs>
        <w:spacing w:after="0" w:line="240" w:lineRule="auto"/>
        <w:ind w:left="709"/>
        <w:jc w:val="both"/>
        <w:rPr>
          <w:rFonts w:ascii="Times New Roman" w:hAnsi="Times New Roman" w:cs="Times New Roman"/>
          <w:sz w:val="24"/>
          <w:szCs w:val="24"/>
        </w:rPr>
      </w:pPr>
    </w:p>
    <w:p w14:paraId="69C9B701" w14:textId="77777777" w:rsidR="00B06B6F" w:rsidRPr="00FC7951" w:rsidRDefault="00B06B6F" w:rsidP="00725F19">
      <w:pPr>
        <w:pStyle w:val="1"/>
        <w:tabs>
          <w:tab w:val="clear" w:pos="1353"/>
          <w:tab w:val="left" w:pos="1134"/>
          <w:tab w:val="num" w:pos="1418"/>
        </w:tabs>
        <w:ind w:left="0" w:firstLine="709"/>
      </w:pPr>
      <w:bookmarkStart w:id="9" w:name="_Toc107244331"/>
      <w:bookmarkStart w:id="10" w:name="_Toc107247763"/>
      <w:r w:rsidRPr="00FC7951">
        <w:t>ОБЩИЕ ПОЛОЖЕНИЯ</w:t>
      </w:r>
      <w:bookmarkEnd w:id="9"/>
      <w:bookmarkEnd w:id="10"/>
    </w:p>
    <w:p w14:paraId="7A7E91AD" w14:textId="77777777" w:rsidR="00B06B6F" w:rsidRPr="00FC7951" w:rsidRDefault="00B06B6F" w:rsidP="00725F19">
      <w:pPr>
        <w:pStyle w:val="ac"/>
        <w:numPr>
          <w:ilvl w:val="1"/>
          <w:numId w:val="1"/>
        </w:numPr>
        <w:tabs>
          <w:tab w:val="left" w:pos="1134"/>
        </w:tabs>
        <w:ind w:left="0" w:firstLine="709"/>
        <w:jc w:val="both"/>
      </w:pPr>
      <w:r w:rsidRPr="00FC7951">
        <w:t>Оценка степени соответствия участника закупочной процедуры требованиям ВНД Общества и/или закупочной документации, в том числе настоящей Методики в рамках финансово-экономической экспертизы осуществляется с позиции финансово-экономических критериев и не охватывает юридических и технических вопросов.</w:t>
      </w:r>
    </w:p>
    <w:p w14:paraId="64A7A4C3" w14:textId="77777777" w:rsidR="00B06B6F" w:rsidRPr="00FC7951" w:rsidRDefault="00B06B6F" w:rsidP="00725F19">
      <w:pPr>
        <w:pStyle w:val="1"/>
        <w:numPr>
          <w:ilvl w:val="1"/>
          <w:numId w:val="1"/>
        </w:numPr>
        <w:ind w:left="0" w:firstLine="709"/>
        <w:jc w:val="both"/>
        <w:rPr>
          <w:b w:val="0"/>
        </w:rPr>
      </w:pPr>
      <w:bookmarkStart w:id="11" w:name="_Toc107247764"/>
      <w:r w:rsidRPr="00FC7951">
        <w:rPr>
          <w:b w:val="0"/>
        </w:rPr>
        <w:t>Вес (степень значимости) финансово-экономической экспертизы, осуществляемой наряду с коммерческой, юридической, технической и, возможно, другими видами экспертиз, в итоговой оценке при ранжировании предложений участников закупочной процедуры должен составлять не менее 10%.</w:t>
      </w:r>
      <w:bookmarkEnd w:id="11"/>
    </w:p>
    <w:p w14:paraId="0E68C40E" w14:textId="77777777" w:rsidR="00B06B6F" w:rsidRPr="00FC7951" w:rsidRDefault="00B06B6F" w:rsidP="00725F19">
      <w:pPr>
        <w:pStyle w:val="1"/>
        <w:numPr>
          <w:ilvl w:val="1"/>
          <w:numId w:val="1"/>
        </w:numPr>
        <w:ind w:left="0" w:firstLine="709"/>
        <w:jc w:val="both"/>
        <w:rPr>
          <w:b w:val="0"/>
        </w:rPr>
      </w:pPr>
      <w:bookmarkStart w:id="12" w:name="_Toc107247765"/>
      <w:r w:rsidRPr="00FC7951">
        <w:rPr>
          <w:b w:val="0"/>
        </w:rPr>
        <w:t>Финансово-экономическая экспертиза, согласно настоящей Методике, является обязательной в рамках каждой закупочной процедуры, независимо от того, проводилась ли оценка финансового состояния конкретных участников ранее (в рамках аккредитации или другой закупочной процедуры), за исключением случаев, предусмотренных ВНД Группы, указанных в разделе 12 Методики.</w:t>
      </w:r>
      <w:bookmarkEnd w:id="12"/>
    </w:p>
    <w:p w14:paraId="6436002F" w14:textId="77777777" w:rsidR="00B06B6F" w:rsidRPr="00FC7951" w:rsidRDefault="00B06B6F" w:rsidP="00725F19">
      <w:pPr>
        <w:pStyle w:val="1"/>
        <w:numPr>
          <w:ilvl w:val="1"/>
          <w:numId w:val="1"/>
        </w:numPr>
        <w:ind w:left="0" w:firstLine="709"/>
        <w:jc w:val="both"/>
        <w:rPr>
          <w:b w:val="0"/>
        </w:rPr>
      </w:pPr>
      <w:bookmarkStart w:id="13" w:name="_Toc107247766"/>
      <w:r w:rsidRPr="00FC7951">
        <w:rPr>
          <w:b w:val="0"/>
        </w:rPr>
        <w:t>В рамках финансово-экономической экспертизы должно быть принято решение о том, способен ли участник закупочной процедуры в оценке с точки зрения финансово-экономических критериев осуществить необходимую поставку или оказать услугу. Кроме того, должна быть получена оценка о степени его соответствия минимально приемлемым, общим для всех закупочных процедур, требованиям, определенным настоящей Методикой, а также специфическим требованиям, установленным подразделением Общества, в интересах которого осуществляется закупка, и закрепленным в ВНД Общества и/или закупочной документации. Предложения участников закупочных процедур, которые заведомо неспособны исполнить свои обязательства, должны быть отклонены.</w:t>
      </w:r>
      <w:bookmarkEnd w:id="13"/>
    </w:p>
    <w:p w14:paraId="06B206A3" w14:textId="77777777" w:rsidR="00B06B6F" w:rsidRPr="00FC7951" w:rsidRDefault="00B06B6F" w:rsidP="00725F19">
      <w:pPr>
        <w:pStyle w:val="1"/>
        <w:numPr>
          <w:ilvl w:val="1"/>
          <w:numId w:val="1"/>
        </w:numPr>
        <w:ind w:left="0" w:firstLine="709"/>
        <w:jc w:val="both"/>
        <w:rPr>
          <w:b w:val="0"/>
        </w:rPr>
      </w:pPr>
      <w:bookmarkStart w:id="14" w:name="_Toc107247767"/>
      <w:r w:rsidRPr="00FC7951">
        <w:rPr>
          <w:b w:val="0"/>
        </w:rPr>
        <w:t xml:space="preserve">Для определения соответствия финансово-экономического состояния участников закупочных процедур минимально приемлемым требованиям с учетом финансовых условий сделки (цены, условий оплаты, наличия обеспечения), а также для ранжирования участников между собой в зависимости от их финансового состояния применяется </w:t>
      </w:r>
      <w:proofErr w:type="spellStart"/>
      <w:r w:rsidRPr="00FC7951">
        <w:rPr>
          <w:b w:val="0"/>
        </w:rPr>
        <w:t>балльно</w:t>
      </w:r>
      <w:proofErr w:type="spellEnd"/>
      <w:r w:rsidRPr="00FC7951">
        <w:rPr>
          <w:b w:val="0"/>
        </w:rPr>
        <w:t>-весовой метод.</w:t>
      </w:r>
      <w:bookmarkEnd w:id="14"/>
    </w:p>
    <w:p w14:paraId="76B53C7B" w14:textId="77777777" w:rsidR="00B06B6F" w:rsidRPr="00FC7951" w:rsidRDefault="00B06B6F" w:rsidP="00725F19">
      <w:pPr>
        <w:pStyle w:val="1"/>
        <w:numPr>
          <w:ilvl w:val="1"/>
          <w:numId w:val="1"/>
        </w:numPr>
        <w:ind w:left="0" w:firstLine="709"/>
        <w:jc w:val="both"/>
        <w:rPr>
          <w:b w:val="0"/>
        </w:rPr>
      </w:pPr>
      <w:bookmarkStart w:id="15" w:name="_Toc107247768"/>
      <w:r w:rsidRPr="00FC7951">
        <w:rPr>
          <w:b w:val="0"/>
        </w:rPr>
        <w:t>В качестве критериев оценки для ранжирования участников используется набор максимально независимых финансовых показателей и показателей бизнес-риска. Каждому финансовому показателю в зависимости от принимаемого значения присваивается балл от 0 до 1, где 0 соответствует неудовлетворительному, а 1 – отличному значению финансового показателя. Показателям бизнес-риска также присваиваются баллы от 0 до 1. Сумма полученных баллов, умноженных на весовые коэффициенты, дает первичную оценку от 0 до 1 согласно которой ранжируются предложения участников закупочных процедур с учетом их финансовой устойчивости и предлагаемых финансовых условий сделки, а также принимается решение о соответствии требованиям ВНД Общества и/или закупочной документации, в том числе настоящей Методики.</w:t>
      </w:r>
      <w:bookmarkEnd w:id="15"/>
    </w:p>
    <w:p w14:paraId="21DE2D67" w14:textId="77777777" w:rsidR="00B06B6F" w:rsidRPr="00FC7951" w:rsidRDefault="00B06B6F" w:rsidP="00725F19">
      <w:pPr>
        <w:pStyle w:val="1"/>
        <w:numPr>
          <w:ilvl w:val="1"/>
          <w:numId w:val="48"/>
        </w:numPr>
        <w:ind w:left="0" w:firstLine="709"/>
        <w:jc w:val="both"/>
        <w:rPr>
          <w:b w:val="0"/>
        </w:rPr>
      </w:pPr>
      <w:bookmarkStart w:id="16" w:name="_Toc107247769"/>
      <w:r w:rsidRPr="00FC7951">
        <w:rPr>
          <w:b w:val="0"/>
        </w:rPr>
        <w:lastRenderedPageBreak/>
        <w:t>Порядок применения положений настоящей Методики Экспертами в ходе проведения финансово-экономической экспертизы определен в Приложении 2 к Методике.</w:t>
      </w:r>
      <w:bookmarkEnd w:id="16"/>
    </w:p>
    <w:p w14:paraId="63807F7D" w14:textId="77777777" w:rsidR="00B06B6F" w:rsidRPr="00FC7951" w:rsidRDefault="00B06B6F" w:rsidP="00725F19">
      <w:pPr>
        <w:pStyle w:val="1"/>
        <w:numPr>
          <w:ilvl w:val="1"/>
          <w:numId w:val="48"/>
        </w:numPr>
        <w:ind w:left="0" w:firstLine="709"/>
        <w:jc w:val="both"/>
        <w:rPr>
          <w:b w:val="0"/>
        </w:rPr>
      </w:pPr>
      <w:bookmarkStart w:id="17" w:name="_Toc107247770"/>
      <w:r w:rsidRPr="00FC7951">
        <w:rPr>
          <w:b w:val="0"/>
        </w:rPr>
        <w:t>В случае если, исходя из особенностей закупочной процедуры и требований ВНД Общества и/или закупочной документации существуют основания для того, чтобы изменить набор или степень значимости финансово-экономических критериев, утвержденных настоящей Методикой, указанные действия могут быть выполнены Экспертом с обоснованием внесенных изменений в экспертном заключении.</w:t>
      </w:r>
      <w:bookmarkEnd w:id="17"/>
    </w:p>
    <w:p w14:paraId="53A7CBA8" w14:textId="77777777" w:rsidR="00B06B6F" w:rsidRPr="00FC7951" w:rsidRDefault="00B06B6F" w:rsidP="00725F19">
      <w:pPr>
        <w:tabs>
          <w:tab w:val="left" w:pos="1134"/>
        </w:tabs>
        <w:jc w:val="both"/>
        <w:rPr>
          <w:rFonts w:ascii="Times New Roman" w:hAnsi="Times New Roman" w:cs="Times New Roman"/>
        </w:rPr>
      </w:pPr>
    </w:p>
    <w:p w14:paraId="673CBF6D" w14:textId="77777777" w:rsidR="00B06B6F" w:rsidRPr="00FC7951" w:rsidRDefault="00B06B6F" w:rsidP="00725F19">
      <w:pPr>
        <w:pStyle w:val="1"/>
        <w:numPr>
          <w:ilvl w:val="0"/>
          <w:numId w:val="48"/>
        </w:numPr>
        <w:tabs>
          <w:tab w:val="left" w:pos="1134"/>
        </w:tabs>
        <w:ind w:hanging="732"/>
      </w:pPr>
      <w:bookmarkStart w:id="18" w:name="_Toc107244332"/>
      <w:bookmarkStart w:id="19" w:name="_Toc107247771"/>
      <w:r w:rsidRPr="00FC7951">
        <w:t>ИНФОРМАЦИЯ, ИСПОЛЬЗУЕМАЯ ДЛЯ ОЦЕНКИ</w:t>
      </w:r>
      <w:bookmarkEnd w:id="18"/>
      <w:bookmarkEnd w:id="19"/>
      <w:r w:rsidRPr="00FC7951">
        <w:t xml:space="preserve"> </w:t>
      </w:r>
    </w:p>
    <w:p w14:paraId="208898CF" w14:textId="77777777" w:rsidR="00B06B6F" w:rsidRPr="00725F19" w:rsidRDefault="00B06B6F" w:rsidP="00725F19">
      <w:pPr>
        <w:tabs>
          <w:tab w:val="left" w:pos="1134"/>
        </w:tabs>
        <w:spacing w:before="120" w:after="120"/>
        <w:ind w:firstLine="709"/>
        <w:jc w:val="both"/>
        <w:rPr>
          <w:rFonts w:ascii="Times New Roman" w:hAnsi="Times New Roman" w:cs="Times New Roman"/>
          <w:bCs/>
          <w:sz w:val="24"/>
          <w:szCs w:val="24"/>
        </w:rPr>
      </w:pPr>
      <w:r w:rsidRPr="00725F19">
        <w:rPr>
          <w:rFonts w:ascii="Times New Roman" w:hAnsi="Times New Roman" w:cs="Times New Roman"/>
          <w:bCs/>
          <w:sz w:val="24"/>
          <w:szCs w:val="24"/>
        </w:rPr>
        <w:t>Приведенный ниже перечень является справочным, не является строго обязательным для каждой закупочной процедуры и применяется в том числе с учетом требований и ограничений, установленных действующим Законодательством (в частности, относительно участников, являющихся субъектами МСП):</w:t>
      </w:r>
    </w:p>
    <w:p w14:paraId="335AF95E" w14:textId="77777777" w:rsidR="00B06B6F" w:rsidRPr="00725F19" w:rsidRDefault="00B06B6F" w:rsidP="00725F19">
      <w:pPr>
        <w:numPr>
          <w:ilvl w:val="0"/>
          <w:numId w:val="7"/>
        </w:numPr>
        <w:tabs>
          <w:tab w:val="clear" w:pos="720"/>
          <w:tab w:val="num"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Формы бухгалтерской отчетности (бухгалтерский баланс и отчет о финансовых результатах) за два последних завершенных финансовых года с отметкой налогового органа, либо с приложением почтовой квитанции о сдаче бухгалтерской отчетности, либо квитанции о приеме бухгалтерской отчетности в электронном виде, выданной ИФНС (далее – с подтверждением предоставления в ИФНС); в случае предоставления участником подписанной и заверенной печатью промежуточной бухгалтерской отчетности (по состоянию на 31.03, 30.06, 30.09 текущего года), такая отчетность используется экспертом при оценке финансового состояния участника в качестве бухгалтерской отчетности на последнюю отчетную дату незавершенного финансового года. Налоговая декларация за соответствующие периоды, выписки из ЕГРН (об основных характеристиках и зарегистрированных правах на объект недвижимости, об объекте недвижимости) и выписка из БКИ на дату, предшествующую не более чем на 30 (тридцати) календарных дней до дня размещения извещения о проведении закупки (в отношении всех упомянутых выписок) для индивидуальных предпринимателей</w:t>
      </w:r>
      <w:r w:rsidRPr="00725F19" w:rsidDel="001F25D7">
        <w:rPr>
          <w:rFonts w:ascii="Times New Roman" w:hAnsi="Times New Roman" w:cs="Times New Roman"/>
          <w:sz w:val="24"/>
          <w:szCs w:val="24"/>
        </w:rPr>
        <w:t xml:space="preserve"> </w:t>
      </w:r>
      <w:r w:rsidRPr="00725F19">
        <w:rPr>
          <w:rFonts w:ascii="Times New Roman" w:hAnsi="Times New Roman" w:cs="Times New Roman"/>
          <w:sz w:val="24"/>
          <w:szCs w:val="24"/>
        </w:rPr>
        <w:t>(в случае, если предоставление документов не противоречит действующему Законодательству).</w:t>
      </w:r>
    </w:p>
    <w:p w14:paraId="441D5F85"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Копия выписки из ЕГРЮЛ/ЕГРИП </w:t>
      </w:r>
    </w:p>
    <w:p w14:paraId="35E63906"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Копия устава</w:t>
      </w:r>
    </w:p>
    <w:p w14:paraId="5C266E80"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Анкета участника *</w:t>
      </w:r>
    </w:p>
    <w:p w14:paraId="4969FDBD"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Коммерческое предложение</w:t>
      </w:r>
    </w:p>
    <w:p w14:paraId="02382251"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перечне и объемах выполнения аналогичных договоров*</w:t>
      </w:r>
    </w:p>
    <w:p w14:paraId="3E892B0F"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наличии кадровых ресурсов*</w:t>
      </w:r>
    </w:p>
    <w:p w14:paraId="2F45A9AE"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Справка о наличии материально-технических ресурсов*</w:t>
      </w:r>
    </w:p>
    <w:p w14:paraId="1E8B50C7" w14:textId="0DDB09DE"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 xml:space="preserve">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о проведении закупки; в </w:t>
      </w:r>
      <w:r w:rsidRPr="00725F19">
        <w:rPr>
          <w:rFonts w:ascii="Times New Roman" w:hAnsi="Times New Roman" w:cs="Times New Roman"/>
          <w:sz w:val="24"/>
          <w:szCs w:val="24"/>
        </w:rPr>
        <w:lastRenderedPageBreak/>
        <w:t xml:space="preserve">случае, если указанные справки предоставляются в форме электронного документа в формате </w:t>
      </w:r>
      <w:r w:rsidRPr="00725F19">
        <w:rPr>
          <w:rFonts w:ascii="Times New Roman" w:hAnsi="Times New Roman" w:cs="Times New Roman"/>
          <w:sz w:val="24"/>
          <w:szCs w:val="24"/>
          <w:lang w:val="en-US"/>
        </w:rPr>
        <w:t>pdf</w:t>
      </w:r>
      <w:r w:rsidRPr="00725F19">
        <w:rPr>
          <w:rFonts w:ascii="Times New Roman" w:hAnsi="Times New Roman" w:cs="Times New Roman"/>
          <w:sz w:val="24"/>
          <w:szCs w:val="24"/>
        </w:rPr>
        <w:t>, такие документы должны содержать усиленную квалифицированную электронную подпись налогового органа и ее визуализацию (в случае, если предоставление документа не противоречит действующему Законодательству) / декларация об отсутствии задолженности в размере более 25% валюты баланса для закупок, подписанная участником на ЭТП</w:t>
      </w:r>
    </w:p>
    <w:p w14:paraId="61A6B097"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Сводная таблица стоимости*</w:t>
      </w:r>
    </w:p>
    <w:p w14:paraId="52D189F0"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График и условия оплаты*</w:t>
      </w:r>
    </w:p>
    <w:p w14:paraId="4BA5AA68"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Другие документы, подтверждающие наличие у участника закупочной процедуры релевантного опыта (отзывы, рекомендательные письма)</w:t>
      </w:r>
    </w:p>
    <w:p w14:paraId="2D87390A"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Информация из открытых источников, в том числе официальный сайт участника в сети Интернет</w:t>
      </w:r>
    </w:p>
    <w:p w14:paraId="37A405A2"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Информация закрытых источников – данные информационно-аналитических систем «ГИР БО», «СПАРК», «</w:t>
      </w:r>
      <w:proofErr w:type="spellStart"/>
      <w:r w:rsidRPr="00725F19">
        <w:rPr>
          <w:rFonts w:ascii="Times New Roman" w:hAnsi="Times New Roman" w:cs="Times New Roman"/>
          <w:sz w:val="24"/>
          <w:szCs w:val="24"/>
        </w:rPr>
        <w:t>БизнесИнфоРесурс</w:t>
      </w:r>
      <w:proofErr w:type="spellEnd"/>
      <w:r w:rsidRPr="00725F19">
        <w:rPr>
          <w:rFonts w:ascii="Times New Roman" w:hAnsi="Times New Roman" w:cs="Times New Roman"/>
          <w:sz w:val="24"/>
          <w:szCs w:val="24"/>
        </w:rPr>
        <w:t>» и др.**</w:t>
      </w:r>
    </w:p>
    <w:p w14:paraId="2A78D8E4"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Расшифровка дебиторской и кредиторской задолженности***</w:t>
      </w:r>
    </w:p>
    <w:p w14:paraId="79256FC7" w14:textId="77777777" w:rsidR="00B06B6F" w:rsidRPr="00725F19" w:rsidRDefault="00B06B6F" w:rsidP="00725F19">
      <w:pPr>
        <w:numPr>
          <w:ilvl w:val="0"/>
          <w:numId w:val="7"/>
        </w:numPr>
        <w:tabs>
          <w:tab w:val="left" w:pos="1134"/>
        </w:tabs>
        <w:spacing w:before="120" w:after="120" w:line="240" w:lineRule="auto"/>
        <w:ind w:left="0" w:firstLine="709"/>
        <w:jc w:val="both"/>
        <w:rPr>
          <w:rFonts w:ascii="Times New Roman" w:hAnsi="Times New Roman" w:cs="Times New Roman"/>
          <w:sz w:val="24"/>
          <w:szCs w:val="24"/>
        </w:rPr>
      </w:pPr>
      <w:r w:rsidRPr="00725F19">
        <w:rPr>
          <w:rFonts w:ascii="Times New Roman" w:hAnsi="Times New Roman" w:cs="Times New Roman"/>
          <w:sz w:val="24"/>
          <w:szCs w:val="24"/>
        </w:rPr>
        <w:t>Расшифровка других статей баланса***</w:t>
      </w:r>
    </w:p>
    <w:p w14:paraId="2C3E140A"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*документы, составленные по форме, установленной ВНД Общества и/или закупочной документацией</w:t>
      </w:r>
    </w:p>
    <w:p w14:paraId="64938917"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**при наличии доступа</w:t>
      </w:r>
    </w:p>
    <w:p w14:paraId="0AFF1FCF" w14:textId="77777777" w:rsidR="00B06B6F" w:rsidRPr="00725F19" w:rsidRDefault="00B06B6F" w:rsidP="00725F19">
      <w:pPr>
        <w:tabs>
          <w:tab w:val="left" w:pos="1134"/>
        </w:tabs>
        <w:spacing w:before="120" w:after="120"/>
        <w:ind w:firstLine="709"/>
        <w:jc w:val="both"/>
        <w:rPr>
          <w:rFonts w:ascii="Times New Roman" w:hAnsi="Times New Roman" w:cs="Times New Roman"/>
          <w:i/>
          <w:sz w:val="24"/>
          <w:szCs w:val="24"/>
        </w:rPr>
      </w:pPr>
      <w:r w:rsidRPr="00725F19">
        <w:rPr>
          <w:rFonts w:ascii="Times New Roman" w:hAnsi="Times New Roman" w:cs="Times New Roman"/>
          <w:i/>
          <w:sz w:val="24"/>
          <w:szCs w:val="24"/>
        </w:rPr>
        <w:t>***разъяснения, предоставляются по запросу, в случае необходимости</w:t>
      </w:r>
    </w:p>
    <w:p w14:paraId="7874039D" w14:textId="77777777" w:rsidR="00B06B6F" w:rsidRPr="00FC7951" w:rsidRDefault="00B06B6F" w:rsidP="00725F19">
      <w:pPr>
        <w:tabs>
          <w:tab w:val="left" w:pos="1134"/>
        </w:tabs>
        <w:spacing w:before="120" w:after="120"/>
        <w:ind w:firstLine="709"/>
        <w:jc w:val="both"/>
        <w:rPr>
          <w:rFonts w:ascii="Times New Roman" w:hAnsi="Times New Roman" w:cs="Times New Roman"/>
          <w:i/>
          <w:sz w:val="20"/>
          <w:szCs w:val="20"/>
        </w:rPr>
      </w:pPr>
    </w:p>
    <w:p w14:paraId="15BB9FD0" w14:textId="77777777" w:rsidR="00B06B6F" w:rsidRPr="00FC7951" w:rsidRDefault="00B06B6F" w:rsidP="00725F19">
      <w:pPr>
        <w:pStyle w:val="1"/>
        <w:tabs>
          <w:tab w:val="clear" w:pos="1353"/>
          <w:tab w:val="left" w:pos="1134"/>
          <w:tab w:val="num" w:pos="1418"/>
        </w:tabs>
        <w:ind w:left="0" w:firstLine="709"/>
      </w:pPr>
      <w:bookmarkStart w:id="20" w:name="_Toc107244333"/>
      <w:bookmarkStart w:id="21" w:name="_Toc107247772"/>
      <w:r w:rsidRPr="00FC7951">
        <w:t>ГРУППА ФИНАНСОВЫХ ПОКАЗАТЕЛЕЙ</w:t>
      </w:r>
      <w:bookmarkEnd w:id="20"/>
      <w:bookmarkEnd w:id="21"/>
    </w:p>
    <w:p w14:paraId="59EEB91D" w14:textId="77777777" w:rsidR="00B06B6F" w:rsidRPr="00FC7951" w:rsidRDefault="00B06B6F" w:rsidP="00725F19">
      <w:pPr>
        <w:pStyle w:val="ac"/>
        <w:numPr>
          <w:ilvl w:val="1"/>
          <w:numId w:val="1"/>
        </w:numPr>
        <w:tabs>
          <w:tab w:val="left" w:pos="1134"/>
        </w:tabs>
        <w:ind w:left="0" w:firstLine="709"/>
        <w:jc w:val="both"/>
        <w:rPr>
          <w:b/>
          <w:i/>
          <w:vanish/>
        </w:rPr>
      </w:pPr>
      <w:r w:rsidRPr="00FC7951">
        <w:rPr>
          <w:b/>
        </w:rPr>
        <w:t>Коэффициенты, характеризующие способность участника расплачиваться по финансовым обязательствам, устойчивость и рентабельность</w:t>
      </w:r>
    </w:p>
    <w:p w14:paraId="36408379" w14:textId="77777777" w:rsidR="00B06B6F" w:rsidRPr="00FC7951" w:rsidRDefault="00B06B6F" w:rsidP="00725F19">
      <w:pPr>
        <w:pStyle w:val="ac"/>
        <w:numPr>
          <w:ilvl w:val="2"/>
          <w:numId w:val="1"/>
        </w:numPr>
        <w:tabs>
          <w:tab w:val="left" w:pos="1134"/>
        </w:tabs>
        <w:spacing w:before="120" w:after="120"/>
        <w:ind w:left="1801" w:hanging="1092"/>
        <w:jc w:val="both"/>
        <w:rPr>
          <w:b/>
          <w:i/>
        </w:rPr>
      </w:pPr>
    </w:p>
    <w:p w14:paraId="64008F0C" w14:textId="77777777" w:rsidR="00B06B6F" w:rsidRPr="00FC7951" w:rsidRDefault="00B06B6F" w:rsidP="00725F19">
      <w:pPr>
        <w:pStyle w:val="ac"/>
        <w:numPr>
          <w:ilvl w:val="2"/>
          <w:numId w:val="49"/>
        </w:numPr>
        <w:tabs>
          <w:tab w:val="left" w:pos="1134"/>
        </w:tabs>
        <w:spacing w:before="120" w:after="120"/>
        <w:jc w:val="both"/>
        <w:rPr>
          <w:b/>
          <w:i/>
        </w:rPr>
      </w:pPr>
      <w:r w:rsidRPr="00FC7951">
        <w:rPr>
          <w:b/>
          <w:i/>
        </w:rPr>
        <w:t>Доля привлеченных средств в пассивах</w:t>
      </w:r>
    </w:p>
    <w:p w14:paraId="047CB440"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Коэффициент характеризует зависимость предприятия от внешних источников финансирования, его финансовую устойчивость. При прочих равных условиях: чем больше у предприятия доля собственных средств в пассивах, тем больше у него возможностей для дополнительного привлечения заемных средств:</w:t>
      </w:r>
    </w:p>
    <w:p w14:paraId="3F1BBC83"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7040" w:dyaOrig="700" w14:anchorId="74663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36pt" o:ole="">
            <v:imagedata r:id="rId8" o:title=""/>
          </v:shape>
          <o:OLEObject Type="Embed" ProgID="Equation.3" ShapeID="_x0000_i1025" DrawAspect="Content" ObjectID="_1727853989" r:id="rId9"/>
        </w:object>
      </w:r>
    </w:p>
    <w:p w14:paraId="261BCF73" w14:textId="77777777" w:rsidR="00B06B6F" w:rsidRPr="00FC7951" w:rsidRDefault="00B06B6F" w:rsidP="00725F19">
      <w:pPr>
        <w:pStyle w:val="ac"/>
        <w:numPr>
          <w:ilvl w:val="2"/>
          <w:numId w:val="1"/>
        </w:numPr>
        <w:tabs>
          <w:tab w:val="left" w:pos="1134"/>
        </w:tabs>
        <w:spacing w:before="120" w:after="120"/>
        <w:ind w:left="0" w:firstLine="709"/>
        <w:jc w:val="both"/>
        <w:rPr>
          <w:b/>
          <w:i/>
        </w:rPr>
      </w:pPr>
      <w:r w:rsidRPr="00FC7951">
        <w:rPr>
          <w:b/>
          <w:i/>
        </w:rPr>
        <w:t>Рентабельность инвестированного капитала</w:t>
      </w:r>
    </w:p>
    <w:p w14:paraId="13F22ACC"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Рентабельность вложенного (инвестированного) капитала по прибыли до налогообложения, уплаты процентов, показывает величину прибыли, полученную на 1 рубль вложенного капитала. Величина инвестированного капитала рассчитывается для целей настоящей методики как сумма собственного капитала и долгосрочных финансовых обязательств:</w:t>
      </w:r>
    </w:p>
    <w:p w14:paraId="4C609A8B"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7100" w:dyaOrig="680" w14:anchorId="11754918">
          <v:shape id="_x0000_i1026" type="#_x0000_t75" style="width:385.8pt;height:36pt" o:ole="">
            <v:imagedata r:id="rId10" o:title=""/>
          </v:shape>
          <o:OLEObject Type="Embed" ProgID="Equation.3" ShapeID="_x0000_i1026" DrawAspect="Content" ObjectID="_1727853990" r:id="rId11"/>
        </w:object>
      </w:r>
      <w:r w:rsidRPr="00FC7951">
        <w:rPr>
          <w:rFonts w:ascii="Times New Roman" w:hAnsi="Times New Roman" w:cs="Times New Roman"/>
        </w:rPr>
        <w:t>,</w:t>
      </w:r>
    </w:p>
    <w:p w14:paraId="31159672"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rPr>
        <w:t>где Т – ставка налога на прибыль.</w:t>
      </w:r>
    </w:p>
    <w:p w14:paraId="243965FD"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Долг / EBITDA</w:t>
      </w:r>
    </w:p>
    <w:p w14:paraId="490A54D4"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Показатель оценивает срок (в годах), в течение которого совокупная финансовая задолженность (за вычетом остатков денежных средств) может быть погашена, если участник весь свой денежный поток от операционной деятельности (в оценке через EBITDA) будет направлять на эти цели, т.е. оценивает платежеспособность организации в долгосрочном периоде перед банками и другими финансовыми институтами. Для целей осуществления финансово-экономической экспертизы </w:t>
      </w:r>
      <w:r w:rsidRPr="00791B2D">
        <w:rPr>
          <w:rFonts w:ascii="Times New Roman" w:hAnsi="Times New Roman" w:cs="Times New Roman"/>
          <w:sz w:val="24"/>
          <w:szCs w:val="24"/>
          <w:lang w:val="en-US"/>
        </w:rPr>
        <w:t>EBITDA</w:t>
      </w:r>
      <w:r w:rsidRPr="00791B2D">
        <w:rPr>
          <w:rFonts w:ascii="Times New Roman" w:hAnsi="Times New Roman" w:cs="Times New Roman"/>
          <w:sz w:val="24"/>
          <w:szCs w:val="24"/>
        </w:rPr>
        <w:t xml:space="preserve"> определяется как Прибыль до налогообложения + Проценты к уплате + Амортизация (амортизация может рассчитываться оценочно, как фиксированная доля от величины основных средств).</w:t>
      </w:r>
    </w:p>
    <w:p w14:paraId="2C653284"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24"/>
        </w:rPr>
        <w:object w:dxaOrig="8520" w:dyaOrig="620" w14:anchorId="5B81D670">
          <v:shape id="_x0000_i1027" type="#_x0000_t75" style="width:396pt;height:27.6pt" o:ole="">
            <v:imagedata r:id="rId12" o:title=""/>
          </v:shape>
          <o:OLEObject Type="Embed" ProgID="Equation.3" ShapeID="_x0000_i1027" DrawAspect="Content" ObjectID="_1727853991" r:id="rId13"/>
        </w:object>
      </w:r>
    </w:p>
    <w:p w14:paraId="414FC234" w14:textId="77777777" w:rsidR="00B06B6F" w:rsidRPr="00FC7951" w:rsidRDefault="00B06B6F" w:rsidP="00725F19">
      <w:pPr>
        <w:tabs>
          <w:tab w:val="left" w:pos="1134"/>
        </w:tabs>
        <w:ind w:firstLine="709"/>
        <w:jc w:val="right"/>
        <w:rPr>
          <w:rFonts w:ascii="Times New Roman" w:hAnsi="Times New Roman" w:cs="Times New Roman"/>
          <w:lang w:val="en-US"/>
        </w:rPr>
      </w:pPr>
    </w:p>
    <w:p w14:paraId="2BDA0CF9" w14:textId="77777777" w:rsidR="00B06B6F" w:rsidRPr="00FC7951" w:rsidRDefault="00B06B6F" w:rsidP="00791B2D">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791B2D">
        <w:rPr>
          <w:rFonts w:ascii="Times New Roman" w:hAnsi="Times New Roman" w:cs="Times New Roman"/>
        </w:rPr>
        <w:t>елей в баллы по шкале от 0 до 1</w:t>
      </w:r>
    </w:p>
    <w:tbl>
      <w:tblPr>
        <w:tblW w:w="9639" w:type="dxa"/>
        <w:tblInd w:w="-5" w:type="dxa"/>
        <w:tblLayout w:type="fixed"/>
        <w:tblLook w:val="04A0" w:firstRow="1" w:lastRow="0" w:firstColumn="1" w:lastColumn="0" w:noHBand="0" w:noVBand="1"/>
      </w:tblPr>
      <w:tblGrid>
        <w:gridCol w:w="1701"/>
        <w:gridCol w:w="851"/>
        <w:gridCol w:w="709"/>
        <w:gridCol w:w="850"/>
        <w:gridCol w:w="709"/>
        <w:gridCol w:w="709"/>
        <w:gridCol w:w="708"/>
        <w:gridCol w:w="709"/>
        <w:gridCol w:w="709"/>
        <w:gridCol w:w="567"/>
        <w:gridCol w:w="567"/>
        <w:gridCol w:w="850"/>
      </w:tblGrid>
      <w:tr w:rsidR="00E77932" w:rsidRPr="00FC7951" w14:paraId="79428777" w14:textId="77777777" w:rsidTr="00E77932">
        <w:trPr>
          <w:trHeight w:val="300"/>
        </w:trPr>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307C4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4A1BB49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23ECAD3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9BD3FE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7C49CB4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60913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154D50F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522821F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68AB114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05C400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4B43ED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07EF0FD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793ECCC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E77932" w:rsidRPr="00FC7951" w14:paraId="397CE941" w14:textId="77777777" w:rsidTr="00E77932">
        <w:trPr>
          <w:trHeight w:val="600"/>
        </w:trPr>
        <w:tc>
          <w:tcPr>
            <w:tcW w:w="1701" w:type="dxa"/>
            <w:tcBorders>
              <w:top w:val="nil"/>
              <w:left w:val="single" w:sz="4" w:space="0" w:color="auto"/>
              <w:bottom w:val="single" w:sz="4" w:space="0" w:color="auto"/>
              <w:right w:val="single" w:sz="4" w:space="0" w:color="auto"/>
            </w:tcBorders>
            <w:shd w:val="clear" w:color="auto" w:fill="auto"/>
            <w:vAlign w:val="center"/>
          </w:tcPr>
          <w:p w14:paraId="0853E1A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Доля </w:t>
            </w:r>
            <w:proofErr w:type="spellStart"/>
            <w:r w:rsidRPr="00FC7951">
              <w:rPr>
                <w:rFonts w:ascii="Times New Roman" w:hAnsi="Times New Roman" w:cs="Times New Roman"/>
                <w:color w:val="000000"/>
              </w:rPr>
              <w:t>привл-ных</w:t>
            </w:r>
            <w:proofErr w:type="spellEnd"/>
            <w:r w:rsidRPr="00FC7951">
              <w:rPr>
                <w:rFonts w:ascii="Times New Roman" w:hAnsi="Times New Roman" w:cs="Times New Roman"/>
                <w:color w:val="000000"/>
              </w:rPr>
              <w:t xml:space="preserve"> средств в пассивах, %</w:t>
            </w:r>
          </w:p>
        </w:tc>
        <w:tc>
          <w:tcPr>
            <w:tcW w:w="851" w:type="dxa"/>
            <w:tcBorders>
              <w:top w:val="nil"/>
              <w:left w:val="nil"/>
              <w:bottom w:val="single" w:sz="4" w:space="0" w:color="auto"/>
              <w:right w:val="single" w:sz="4" w:space="0" w:color="auto"/>
            </w:tcBorders>
            <w:shd w:val="clear" w:color="000000" w:fill="FFE5E5"/>
            <w:noWrap/>
            <w:vAlign w:val="center"/>
          </w:tcPr>
          <w:p w14:paraId="1503D2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100% и более</w:t>
            </w:r>
          </w:p>
        </w:tc>
        <w:tc>
          <w:tcPr>
            <w:tcW w:w="709" w:type="dxa"/>
            <w:tcBorders>
              <w:top w:val="nil"/>
              <w:left w:val="nil"/>
              <w:bottom w:val="single" w:sz="4" w:space="0" w:color="auto"/>
              <w:right w:val="single" w:sz="4" w:space="0" w:color="auto"/>
            </w:tcBorders>
            <w:shd w:val="clear" w:color="000000" w:fill="FFE5E5"/>
            <w:noWrap/>
            <w:vAlign w:val="center"/>
          </w:tcPr>
          <w:p w14:paraId="4E9C352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99,5%</w:t>
            </w:r>
          </w:p>
        </w:tc>
        <w:tc>
          <w:tcPr>
            <w:tcW w:w="850" w:type="dxa"/>
            <w:tcBorders>
              <w:top w:val="nil"/>
              <w:left w:val="nil"/>
              <w:bottom w:val="single" w:sz="4" w:space="0" w:color="auto"/>
              <w:right w:val="single" w:sz="4" w:space="0" w:color="auto"/>
            </w:tcBorders>
            <w:shd w:val="clear" w:color="000000" w:fill="FFE5E5"/>
            <w:noWrap/>
            <w:vAlign w:val="center"/>
          </w:tcPr>
          <w:p w14:paraId="59AFC2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98,5%</w:t>
            </w:r>
          </w:p>
        </w:tc>
        <w:tc>
          <w:tcPr>
            <w:tcW w:w="709" w:type="dxa"/>
            <w:tcBorders>
              <w:top w:val="nil"/>
              <w:left w:val="nil"/>
              <w:bottom w:val="single" w:sz="4" w:space="0" w:color="auto"/>
              <w:right w:val="single" w:sz="4" w:space="0" w:color="auto"/>
            </w:tcBorders>
            <w:shd w:val="clear" w:color="000000" w:fill="FFE5E5"/>
            <w:noWrap/>
            <w:vAlign w:val="center"/>
          </w:tcPr>
          <w:p w14:paraId="46D4F86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98%</w:t>
            </w:r>
          </w:p>
        </w:tc>
        <w:tc>
          <w:tcPr>
            <w:tcW w:w="709" w:type="dxa"/>
            <w:tcBorders>
              <w:top w:val="nil"/>
              <w:left w:val="nil"/>
              <w:bottom w:val="single" w:sz="4" w:space="0" w:color="auto"/>
              <w:right w:val="single" w:sz="4" w:space="0" w:color="auto"/>
            </w:tcBorders>
            <w:shd w:val="clear" w:color="000000" w:fill="F8FFB9"/>
            <w:noWrap/>
            <w:vAlign w:val="center"/>
          </w:tcPr>
          <w:p w14:paraId="734B45A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96%</w:t>
            </w:r>
          </w:p>
        </w:tc>
        <w:tc>
          <w:tcPr>
            <w:tcW w:w="708" w:type="dxa"/>
            <w:tcBorders>
              <w:top w:val="nil"/>
              <w:left w:val="nil"/>
              <w:bottom w:val="single" w:sz="4" w:space="0" w:color="auto"/>
              <w:right w:val="single" w:sz="4" w:space="0" w:color="auto"/>
            </w:tcBorders>
            <w:shd w:val="clear" w:color="000000" w:fill="F8FFB9"/>
            <w:noWrap/>
            <w:vAlign w:val="center"/>
          </w:tcPr>
          <w:p w14:paraId="29BB6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94%</w:t>
            </w:r>
          </w:p>
        </w:tc>
        <w:tc>
          <w:tcPr>
            <w:tcW w:w="709" w:type="dxa"/>
            <w:tcBorders>
              <w:top w:val="nil"/>
              <w:left w:val="nil"/>
              <w:bottom w:val="single" w:sz="4" w:space="0" w:color="auto"/>
              <w:right w:val="single" w:sz="4" w:space="0" w:color="auto"/>
            </w:tcBorders>
            <w:shd w:val="clear" w:color="000000" w:fill="C6FED1"/>
            <w:noWrap/>
            <w:vAlign w:val="center"/>
          </w:tcPr>
          <w:p w14:paraId="15A3669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92%</w:t>
            </w:r>
          </w:p>
        </w:tc>
        <w:tc>
          <w:tcPr>
            <w:tcW w:w="709" w:type="dxa"/>
            <w:tcBorders>
              <w:top w:val="nil"/>
              <w:left w:val="nil"/>
              <w:bottom w:val="single" w:sz="4" w:space="0" w:color="auto"/>
              <w:right w:val="single" w:sz="4" w:space="0" w:color="auto"/>
            </w:tcBorders>
            <w:shd w:val="clear" w:color="000000" w:fill="C6FED1"/>
            <w:noWrap/>
            <w:vAlign w:val="center"/>
          </w:tcPr>
          <w:p w14:paraId="38A35BA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90%</w:t>
            </w:r>
          </w:p>
        </w:tc>
        <w:tc>
          <w:tcPr>
            <w:tcW w:w="567" w:type="dxa"/>
            <w:tcBorders>
              <w:top w:val="nil"/>
              <w:left w:val="nil"/>
              <w:bottom w:val="single" w:sz="4" w:space="0" w:color="auto"/>
              <w:right w:val="single" w:sz="4" w:space="0" w:color="auto"/>
            </w:tcBorders>
            <w:shd w:val="clear" w:color="000000" w:fill="C6FED1"/>
            <w:noWrap/>
            <w:vAlign w:val="center"/>
          </w:tcPr>
          <w:p w14:paraId="6E00540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83%</w:t>
            </w:r>
          </w:p>
        </w:tc>
        <w:tc>
          <w:tcPr>
            <w:tcW w:w="567" w:type="dxa"/>
            <w:tcBorders>
              <w:top w:val="nil"/>
              <w:left w:val="nil"/>
              <w:bottom w:val="single" w:sz="4" w:space="0" w:color="auto"/>
              <w:right w:val="single" w:sz="4" w:space="0" w:color="auto"/>
            </w:tcBorders>
            <w:shd w:val="clear" w:color="000000" w:fill="C6FED1"/>
            <w:noWrap/>
            <w:vAlign w:val="center"/>
          </w:tcPr>
          <w:p w14:paraId="1DA5B25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76%</w:t>
            </w:r>
          </w:p>
        </w:tc>
        <w:tc>
          <w:tcPr>
            <w:tcW w:w="850" w:type="dxa"/>
            <w:tcBorders>
              <w:top w:val="nil"/>
              <w:left w:val="nil"/>
              <w:bottom w:val="single" w:sz="4" w:space="0" w:color="auto"/>
              <w:right w:val="single" w:sz="4" w:space="0" w:color="auto"/>
            </w:tcBorders>
            <w:shd w:val="clear" w:color="000000" w:fill="C6FED1"/>
            <w:noWrap/>
            <w:vAlign w:val="center"/>
          </w:tcPr>
          <w:p w14:paraId="78B7AD3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до 70%</w:t>
            </w:r>
          </w:p>
        </w:tc>
      </w:tr>
      <w:tr w:rsidR="00E77932" w:rsidRPr="00FC7951" w14:paraId="53E0A517" w14:textId="77777777" w:rsidTr="00E77932">
        <w:trPr>
          <w:trHeight w:val="915"/>
        </w:trPr>
        <w:tc>
          <w:tcPr>
            <w:tcW w:w="1701" w:type="dxa"/>
            <w:tcBorders>
              <w:top w:val="nil"/>
              <w:left w:val="single" w:sz="4" w:space="0" w:color="auto"/>
              <w:bottom w:val="single" w:sz="4" w:space="0" w:color="auto"/>
              <w:right w:val="single" w:sz="4" w:space="0" w:color="auto"/>
            </w:tcBorders>
            <w:shd w:val="clear" w:color="auto" w:fill="auto"/>
            <w:vAlign w:val="center"/>
          </w:tcPr>
          <w:p w14:paraId="080D272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Рентабельность инвестированного капитала, %</w:t>
            </w:r>
          </w:p>
        </w:tc>
        <w:tc>
          <w:tcPr>
            <w:tcW w:w="851" w:type="dxa"/>
            <w:tcBorders>
              <w:top w:val="nil"/>
              <w:left w:val="nil"/>
              <w:bottom w:val="single" w:sz="4" w:space="0" w:color="auto"/>
              <w:right w:val="single" w:sz="4" w:space="0" w:color="auto"/>
            </w:tcBorders>
            <w:shd w:val="clear" w:color="000000" w:fill="FFE5E5"/>
            <w:vAlign w:val="center"/>
          </w:tcPr>
          <w:p w14:paraId="7BA4A48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убыток более 10%</w:t>
            </w:r>
          </w:p>
        </w:tc>
        <w:tc>
          <w:tcPr>
            <w:tcW w:w="709" w:type="dxa"/>
            <w:tcBorders>
              <w:top w:val="nil"/>
              <w:left w:val="nil"/>
              <w:bottom w:val="single" w:sz="4" w:space="0" w:color="auto"/>
              <w:right w:val="single" w:sz="4" w:space="0" w:color="auto"/>
            </w:tcBorders>
            <w:shd w:val="clear" w:color="000000" w:fill="FFE5E5"/>
            <w:noWrap/>
            <w:vAlign w:val="center"/>
          </w:tcPr>
          <w:p w14:paraId="76492F0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850" w:type="dxa"/>
            <w:tcBorders>
              <w:top w:val="nil"/>
              <w:left w:val="nil"/>
              <w:bottom w:val="single" w:sz="4" w:space="0" w:color="auto"/>
              <w:right w:val="single" w:sz="4" w:space="0" w:color="auto"/>
            </w:tcBorders>
            <w:shd w:val="clear" w:color="000000" w:fill="FFE5E5"/>
            <w:noWrap/>
            <w:vAlign w:val="center"/>
          </w:tcPr>
          <w:p w14:paraId="709D105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FFE5E5"/>
            <w:noWrap/>
            <w:vAlign w:val="center"/>
          </w:tcPr>
          <w:p w14:paraId="5489488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709" w:type="dxa"/>
            <w:tcBorders>
              <w:top w:val="nil"/>
              <w:left w:val="nil"/>
              <w:bottom w:val="single" w:sz="4" w:space="0" w:color="auto"/>
              <w:right w:val="single" w:sz="4" w:space="0" w:color="auto"/>
            </w:tcBorders>
            <w:shd w:val="clear" w:color="000000" w:fill="F8FFB9"/>
            <w:noWrap/>
            <w:vAlign w:val="center"/>
          </w:tcPr>
          <w:p w14:paraId="31B12CC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w:t>
            </w:r>
          </w:p>
        </w:tc>
        <w:tc>
          <w:tcPr>
            <w:tcW w:w="708" w:type="dxa"/>
            <w:tcBorders>
              <w:top w:val="nil"/>
              <w:left w:val="nil"/>
              <w:bottom w:val="single" w:sz="4" w:space="0" w:color="auto"/>
              <w:right w:val="single" w:sz="4" w:space="0" w:color="auto"/>
            </w:tcBorders>
            <w:shd w:val="clear" w:color="000000" w:fill="F8FFB9"/>
            <w:noWrap/>
            <w:vAlign w:val="center"/>
          </w:tcPr>
          <w:p w14:paraId="75109D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709" w:type="dxa"/>
            <w:tcBorders>
              <w:top w:val="nil"/>
              <w:left w:val="nil"/>
              <w:bottom w:val="single" w:sz="4" w:space="0" w:color="auto"/>
              <w:right w:val="single" w:sz="4" w:space="0" w:color="auto"/>
            </w:tcBorders>
            <w:shd w:val="clear" w:color="000000" w:fill="C6FED1"/>
            <w:noWrap/>
            <w:vAlign w:val="center"/>
          </w:tcPr>
          <w:p w14:paraId="197DAA3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C6FED1"/>
            <w:noWrap/>
            <w:vAlign w:val="center"/>
          </w:tcPr>
          <w:p w14:paraId="04F8255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567" w:type="dxa"/>
            <w:tcBorders>
              <w:top w:val="nil"/>
              <w:left w:val="nil"/>
              <w:bottom w:val="single" w:sz="4" w:space="0" w:color="auto"/>
              <w:right w:val="single" w:sz="4" w:space="0" w:color="auto"/>
            </w:tcBorders>
            <w:shd w:val="clear" w:color="000000" w:fill="C6FED1"/>
            <w:noWrap/>
            <w:vAlign w:val="center"/>
          </w:tcPr>
          <w:p w14:paraId="3EBD9C9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13%</w:t>
            </w:r>
          </w:p>
        </w:tc>
        <w:tc>
          <w:tcPr>
            <w:tcW w:w="567" w:type="dxa"/>
            <w:tcBorders>
              <w:top w:val="nil"/>
              <w:left w:val="nil"/>
              <w:bottom w:val="single" w:sz="4" w:space="0" w:color="auto"/>
              <w:right w:val="single" w:sz="4" w:space="0" w:color="auto"/>
            </w:tcBorders>
            <w:shd w:val="clear" w:color="000000" w:fill="C6FED1"/>
            <w:noWrap/>
            <w:vAlign w:val="center"/>
          </w:tcPr>
          <w:p w14:paraId="0B2D8E8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17%</w:t>
            </w:r>
          </w:p>
        </w:tc>
        <w:tc>
          <w:tcPr>
            <w:tcW w:w="850" w:type="dxa"/>
            <w:tcBorders>
              <w:top w:val="nil"/>
              <w:left w:val="nil"/>
              <w:bottom w:val="single" w:sz="4" w:space="0" w:color="auto"/>
              <w:right w:val="single" w:sz="4" w:space="0" w:color="auto"/>
            </w:tcBorders>
            <w:shd w:val="clear" w:color="000000" w:fill="C6FED1"/>
            <w:vAlign w:val="center"/>
          </w:tcPr>
          <w:p w14:paraId="6DC259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20%</w:t>
            </w:r>
          </w:p>
        </w:tc>
      </w:tr>
      <w:tr w:rsidR="00E77932" w:rsidRPr="00FC7951" w14:paraId="2923A7C9" w14:textId="77777777" w:rsidTr="00E77932">
        <w:trPr>
          <w:trHeight w:val="600"/>
        </w:trPr>
        <w:tc>
          <w:tcPr>
            <w:tcW w:w="1701" w:type="dxa"/>
            <w:tcBorders>
              <w:top w:val="nil"/>
              <w:left w:val="single" w:sz="4" w:space="0" w:color="auto"/>
              <w:bottom w:val="single" w:sz="4" w:space="0" w:color="auto"/>
              <w:right w:val="single" w:sz="4" w:space="0" w:color="auto"/>
            </w:tcBorders>
            <w:shd w:val="clear" w:color="auto" w:fill="auto"/>
            <w:vAlign w:val="center"/>
          </w:tcPr>
          <w:p w14:paraId="6C2A462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Долг / EBITDA, лет</w:t>
            </w:r>
          </w:p>
        </w:tc>
        <w:tc>
          <w:tcPr>
            <w:tcW w:w="851" w:type="dxa"/>
            <w:tcBorders>
              <w:top w:val="nil"/>
              <w:left w:val="nil"/>
              <w:bottom w:val="single" w:sz="4" w:space="0" w:color="auto"/>
              <w:right w:val="single" w:sz="4" w:space="0" w:color="auto"/>
            </w:tcBorders>
            <w:shd w:val="clear" w:color="000000" w:fill="FFE5E5"/>
            <w:vAlign w:val="center"/>
          </w:tcPr>
          <w:p w14:paraId="2CD3695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12 лет</w:t>
            </w:r>
          </w:p>
        </w:tc>
        <w:tc>
          <w:tcPr>
            <w:tcW w:w="709" w:type="dxa"/>
            <w:tcBorders>
              <w:top w:val="nil"/>
              <w:left w:val="nil"/>
              <w:bottom w:val="single" w:sz="4" w:space="0" w:color="auto"/>
              <w:right w:val="single" w:sz="4" w:space="0" w:color="auto"/>
            </w:tcBorders>
            <w:shd w:val="clear" w:color="000000" w:fill="FFE5E5"/>
            <w:noWrap/>
            <w:vAlign w:val="center"/>
          </w:tcPr>
          <w:p w14:paraId="457C262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11</w:t>
            </w:r>
          </w:p>
        </w:tc>
        <w:tc>
          <w:tcPr>
            <w:tcW w:w="850" w:type="dxa"/>
            <w:tcBorders>
              <w:top w:val="nil"/>
              <w:left w:val="nil"/>
              <w:bottom w:val="single" w:sz="4" w:space="0" w:color="auto"/>
              <w:right w:val="single" w:sz="4" w:space="0" w:color="auto"/>
            </w:tcBorders>
            <w:shd w:val="clear" w:color="000000" w:fill="FFE5E5"/>
            <w:noWrap/>
            <w:vAlign w:val="center"/>
          </w:tcPr>
          <w:p w14:paraId="46D0D5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c>
          <w:tcPr>
            <w:tcW w:w="709" w:type="dxa"/>
            <w:tcBorders>
              <w:top w:val="nil"/>
              <w:left w:val="nil"/>
              <w:bottom w:val="single" w:sz="4" w:space="0" w:color="auto"/>
              <w:right w:val="single" w:sz="4" w:space="0" w:color="auto"/>
            </w:tcBorders>
            <w:shd w:val="clear" w:color="000000" w:fill="FFE5E5"/>
            <w:noWrap/>
            <w:vAlign w:val="center"/>
          </w:tcPr>
          <w:p w14:paraId="54A12A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9</w:t>
            </w:r>
          </w:p>
        </w:tc>
        <w:tc>
          <w:tcPr>
            <w:tcW w:w="709" w:type="dxa"/>
            <w:tcBorders>
              <w:top w:val="nil"/>
              <w:left w:val="nil"/>
              <w:bottom w:val="single" w:sz="4" w:space="0" w:color="auto"/>
              <w:right w:val="single" w:sz="4" w:space="0" w:color="auto"/>
            </w:tcBorders>
            <w:shd w:val="clear" w:color="000000" w:fill="F8FFB9"/>
            <w:noWrap/>
            <w:vAlign w:val="center"/>
          </w:tcPr>
          <w:p w14:paraId="45EB517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w:t>
            </w:r>
          </w:p>
        </w:tc>
        <w:tc>
          <w:tcPr>
            <w:tcW w:w="708" w:type="dxa"/>
            <w:tcBorders>
              <w:top w:val="nil"/>
              <w:left w:val="nil"/>
              <w:bottom w:val="single" w:sz="4" w:space="0" w:color="auto"/>
              <w:right w:val="single" w:sz="4" w:space="0" w:color="auto"/>
            </w:tcBorders>
            <w:shd w:val="clear" w:color="000000" w:fill="F8FFB9"/>
            <w:noWrap/>
            <w:vAlign w:val="center"/>
          </w:tcPr>
          <w:p w14:paraId="6FA1636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w:t>
            </w:r>
          </w:p>
        </w:tc>
        <w:tc>
          <w:tcPr>
            <w:tcW w:w="709" w:type="dxa"/>
            <w:tcBorders>
              <w:top w:val="nil"/>
              <w:left w:val="nil"/>
              <w:bottom w:val="single" w:sz="4" w:space="0" w:color="auto"/>
              <w:right w:val="single" w:sz="4" w:space="0" w:color="auto"/>
            </w:tcBorders>
            <w:shd w:val="clear" w:color="000000" w:fill="C6FED1"/>
            <w:noWrap/>
            <w:vAlign w:val="center"/>
          </w:tcPr>
          <w:p w14:paraId="1D6F351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w:t>
            </w:r>
          </w:p>
        </w:tc>
        <w:tc>
          <w:tcPr>
            <w:tcW w:w="709" w:type="dxa"/>
            <w:tcBorders>
              <w:top w:val="nil"/>
              <w:left w:val="nil"/>
              <w:bottom w:val="single" w:sz="4" w:space="0" w:color="auto"/>
              <w:right w:val="single" w:sz="4" w:space="0" w:color="auto"/>
            </w:tcBorders>
            <w:shd w:val="clear" w:color="000000" w:fill="C6FED1"/>
            <w:noWrap/>
            <w:vAlign w:val="center"/>
          </w:tcPr>
          <w:p w14:paraId="4E54A91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w:t>
            </w:r>
          </w:p>
        </w:tc>
        <w:tc>
          <w:tcPr>
            <w:tcW w:w="567" w:type="dxa"/>
            <w:tcBorders>
              <w:top w:val="nil"/>
              <w:left w:val="nil"/>
              <w:bottom w:val="single" w:sz="4" w:space="0" w:color="auto"/>
              <w:right w:val="single" w:sz="4" w:space="0" w:color="auto"/>
            </w:tcBorders>
            <w:shd w:val="clear" w:color="000000" w:fill="C6FED1"/>
            <w:noWrap/>
            <w:vAlign w:val="center"/>
          </w:tcPr>
          <w:p w14:paraId="20E6D8B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4</w:t>
            </w:r>
          </w:p>
        </w:tc>
        <w:tc>
          <w:tcPr>
            <w:tcW w:w="567" w:type="dxa"/>
            <w:tcBorders>
              <w:top w:val="nil"/>
              <w:left w:val="nil"/>
              <w:bottom w:val="single" w:sz="4" w:space="0" w:color="auto"/>
              <w:right w:val="single" w:sz="4" w:space="0" w:color="auto"/>
            </w:tcBorders>
            <w:shd w:val="clear" w:color="000000" w:fill="C6FED1"/>
            <w:noWrap/>
            <w:vAlign w:val="center"/>
          </w:tcPr>
          <w:p w14:paraId="5315327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850" w:type="dxa"/>
            <w:tcBorders>
              <w:top w:val="nil"/>
              <w:left w:val="nil"/>
              <w:bottom w:val="single" w:sz="4" w:space="0" w:color="auto"/>
              <w:right w:val="single" w:sz="4" w:space="0" w:color="auto"/>
            </w:tcBorders>
            <w:shd w:val="clear" w:color="000000" w:fill="C6FED1"/>
            <w:vAlign w:val="center"/>
          </w:tcPr>
          <w:p w14:paraId="6F3D99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2 лет</w:t>
            </w:r>
          </w:p>
        </w:tc>
      </w:tr>
    </w:tbl>
    <w:p w14:paraId="57E89D90" w14:textId="77777777" w:rsidR="00B06B6F" w:rsidRPr="00FC7951" w:rsidRDefault="00B06B6F" w:rsidP="00725F19">
      <w:pPr>
        <w:spacing w:before="120" w:after="120"/>
        <w:jc w:val="both"/>
        <w:rPr>
          <w:rFonts w:ascii="Times New Roman" w:hAnsi="Times New Roman" w:cs="Times New Roman"/>
          <w:b/>
        </w:rPr>
      </w:pPr>
    </w:p>
    <w:p w14:paraId="11F18B76" w14:textId="77777777" w:rsidR="00B06B6F" w:rsidRPr="00791B2D" w:rsidRDefault="00B06B6F" w:rsidP="00725F19">
      <w:pPr>
        <w:numPr>
          <w:ilvl w:val="1"/>
          <w:numId w:val="1"/>
        </w:numPr>
        <w:tabs>
          <w:tab w:val="left" w:pos="1134"/>
        </w:tabs>
        <w:spacing w:before="120" w:after="120" w:line="240" w:lineRule="auto"/>
        <w:ind w:left="0" w:firstLine="709"/>
        <w:jc w:val="both"/>
        <w:rPr>
          <w:rFonts w:ascii="Times New Roman" w:hAnsi="Times New Roman" w:cs="Times New Roman"/>
          <w:b/>
          <w:sz w:val="24"/>
          <w:szCs w:val="24"/>
        </w:rPr>
      </w:pPr>
      <w:r w:rsidRPr="00791B2D">
        <w:rPr>
          <w:rFonts w:ascii="Times New Roman" w:hAnsi="Times New Roman" w:cs="Times New Roman"/>
          <w:b/>
          <w:sz w:val="24"/>
          <w:szCs w:val="24"/>
        </w:rPr>
        <w:t>Коэффициенты, характеризующие операционную деятельность</w:t>
      </w:r>
    </w:p>
    <w:p w14:paraId="7A7FE1C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Период оборота кредиторской задолженности</w:t>
      </w:r>
    </w:p>
    <w:p w14:paraId="1705FDDE"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Показатель оценивает срок (в днях), в течение которого краткосрочная кредиторская задолженность может быть погашена. Т.е. оценивает платежеспособность организации в краткосрочном периоде перед краткосрочными коммерческими кредиторами.</w:t>
      </w:r>
    </w:p>
    <w:p w14:paraId="5BE8EE4F" w14:textId="77777777" w:rsidR="00B06B6F" w:rsidRPr="00FC7951" w:rsidRDefault="00B06B6F" w:rsidP="00725F19">
      <w:pPr>
        <w:tabs>
          <w:tab w:val="left" w:pos="1134"/>
        </w:tabs>
        <w:spacing w:before="120" w:after="120"/>
        <w:ind w:firstLine="709"/>
        <w:jc w:val="both"/>
        <w:rPr>
          <w:rFonts w:ascii="Times New Roman" w:hAnsi="Times New Roman" w:cs="Times New Roman"/>
          <w:b/>
          <w:i/>
        </w:rPr>
      </w:pPr>
      <m:oMathPara>
        <m:oMathParaPr>
          <m:jc m:val="left"/>
        </m:oMathParaPr>
        <m:oMath>
          <m:r>
            <w:rPr>
              <w:rFonts w:ascii="Cambria Math" w:hAnsi="Cambria Math" w:cs="Times New Roman"/>
              <w:sz w:val="28"/>
              <w:szCs w:val="28"/>
            </w:rPr>
            <m:t>Период_оборота_КЗ=</m:t>
          </m:r>
          <m:f>
            <m:fPr>
              <m:ctrlPr>
                <w:rPr>
                  <w:rFonts w:ascii="Cambria Math" w:hAnsi="Cambria Math" w:cs="Times New Roman"/>
                  <w:i/>
                  <w:sz w:val="28"/>
                  <w:szCs w:val="28"/>
                </w:rPr>
              </m:ctrlPr>
            </m:fPr>
            <m:num>
              <m:r>
                <w:rPr>
                  <w:rFonts w:ascii="Cambria Math" w:hAnsi="Cambria Math" w:cs="Times New Roman"/>
                  <w:sz w:val="28"/>
                  <w:szCs w:val="28"/>
                </w:rPr>
                <m:t>Величина_КЗ*365</m:t>
              </m:r>
            </m:num>
            <m:den>
              <m:r>
                <w:rPr>
                  <w:rFonts w:ascii="Cambria Math" w:hAnsi="Cambria Math" w:cs="Times New Roman"/>
                  <w:sz w:val="28"/>
                  <w:szCs w:val="28"/>
                </w:rPr>
                <m:t>Годовая_выручка</m:t>
              </m:r>
            </m:den>
          </m:f>
        </m:oMath>
      </m:oMathPara>
    </w:p>
    <w:p w14:paraId="120B438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Период оборота дебиторской задолженности.</w:t>
      </w:r>
    </w:p>
    <w:p w14:paraId="552ABBC1"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Показатель оценивает срок (в днях), в течение которого покупатели в среднем расплачиваются с оцениваемым участником, т. е. косвенно характеризует платежеспособность покупателей, а также эффективность мероприятий по сбору платежей:</w:t>
      </w:r>
    </w:p>
    <w:p w14:paraId="6371C4E9"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ParaPr>
          <m:jc m:val="left"/>
        </m:oMathParaPr>
        <m:oMath>
          <m:r>
            <w:rPr>
              <w:rFonts w:ascii="Cambria Math" w:hAnsi="Cambria Math" w:cs="Times New Roman"/>
              <w:sz w:val="28"/>
              <w:szCs w:val="28"/>
            </w:rPr>
            <m:t>Период_оборота_ДЗ=</m:t>
          </m:r>
          <m:f>
            <m:fPr>
              <m:ctrlPr>
                <w:rPr>
                  <w:rFonts w:ascii="Cambria Math" w:hAnsi="Cambria Math" w:cs="Times New Roman"/>
                  <w:i/>
                  <w:sz w:val="28"/>
                  <w:szCs w:val="28"/>
                </w:rPr>
              </m:ctrlPr>
            </m:fPr>
            <m:num>
              <m:r>
                <w:rPr>
                  <w:rFonts w:ascii="Cambria Math" w:hAnsi="Cambria Math" w:cs="Times New Roman"/>
                  <w:sz w:val="28"/>
                  <w:szCs w:val="28"/>
                </w:rPr>
                <m:t>Величина_ДЗ*365</m:t>
              </m:r>
            </m:num>
            <m:den>
              <m:r>
                <w:rPr>
                  <w:rFonts w:ascii="Cambria Math" w:hAnsi="Cambria Math" w:cs="Times New Roman"/>
                  <w:sz w:val="28"/>
                  <w:szCs w:val="28"/>
                </w:rPr>
                <m:t>Годовая_выручка</m:t>
              </m:r>
            </m:den>
          </m:f>
        </m:oMath>
      </m:oMathPara>
    </w:p>
    <w:p w14:paraId="1E9C0AC5" w14:textId="77777777" w:rsidR="00B06B6F" w:rsidRPr="00FC7951" w:rsidRDefault="00B06B6F" w:rsidP="00725F19">
      <w:pPr>
        <w:jc w:val="right"/>
        <w:rPr>
          <w:rFonts w:ascii="Times New Roman" w:hAnsi="Times New Roman" w:cs="Times New Roman"/>
          <w:lang w:val="en-US"/>
        </w:rPr>
      </w:pPr>
    </w:p>
    <w:p w14:paraId="6355DF29" w14:textId="77777777" w:rsidR="00B06B6F" w:rsidRPr="00FC7951" w:rsidRDefault="00B06B6F" w:rsidP="00791B2D">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791B2D">
        <w:rPr>
          <w:rFonts w:ascii="Times New Roman" w:hAnsi="Times New Roman" w:cs="Times New Roman"/>
        </w:rPr>
        <w:t>елей в баллы по шкале от 0 до 1</w:t>
      </w:r>
    </w:p>
    <w:tbl>
      <w:tblPr>
        <w:tblW w:w="9356" w:type="dxa"/>
        <w:tblInd w:w="-5" w:type="dxa"/>
        <w:tblLayout w:type="fixed"/>
        <w:tblLook w:val="04A0" w:firstRow="1" w:lastRow="0" w:firstColumn="1" w:lastColumn="0" w:noHBand="0" w:noVBand="1"/>
      </w:tblPr>
      <w:tblGrid>
        <w:gridCol w:w="1985"/>
        <w:gridCol w:w="850"/>
        <w:gridCol w:w="567"/>
        <w:gridCol w:w="709"/>
        <w:gridCol w:w="567"/>
        <w:gridCol w:w="709"/>
        <w:gridCol w:w="709"/>
        <w:gridCol w:w="567"/>
        <w:gridCol w:w="708"/>
        <w:gridCol w:w="567"/>
        <w:gridCol w:w="567"/>
        <w:gridCol w:w="851"/>
      </w:tblGrid>
      <w:tr w:rsidR="00B06B6F" w:rsidRPr="00FC7951" w14:paraId="7CE5DBDB" w14:textId="77777777" w:rsidTr="001F127F">
        <w:trPr>
          <w:trHeight w:val="300"/>
        </w:trPr>
        <w:tc>
          <w:tcPr>
            <w:tcW w:w="1985"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705F1F8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0C4A6780"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1D7155F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FFBD4F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1B26320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235AA4D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6771B11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0FA32D3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020ABF3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7155B2A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FB4D56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76B4AC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4A215C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7290D03E" w14:textId="77777777" w:rsidTr="001F127F">
        <w:trPr>
          <w:trHeight w:val="600"/>
        </w:trPr>
        <w:tc>
          <w:tcPr>
            <w:tcW w:w="1985" w:type="dxa"/>
            <w:tcBorders>
              <w:top w:val="nil"/>
              <w:left w:val="single" w:sz="4" w:space="0" w:color="auto"/>
              <w:bottom w:val="single" w:sz="4" w:space="0" w:color="auto"/>
              <w:right w:val="single" w:sz="4" w:space="0" w:color="auto"/>
            </w:tcBorders>
            <w:shd w:val="clear" w:color="auto" w:fill="auto"/>
          </w:tcPr>
          <w:p w14:paraId="1930667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период оборота дебиторской задолженности, </w:t>
            </w:r>
            <w:proofErr w:type="spellStart"/>
            <w:r w:rsidRPr="00FC7951">
              <w:rPr>
                <w:rFonts w:ascii="Times New Roman" w:hAnsi="Times New Roman" w:cs="Times New Roman"/>
                <w:color w:val="000000"/>
              </w:rPr>
              <w:t>дн</w:t>
            </w:r>
            <w:proofErr w:type="spellEnd"/>
          </w:p>
        </w:tc>
        <w:tc>
          <w:tcPr>
            <w:tcW w:w="850" w:type="dxa"/>
            <w:tcBorders>
              <w:top w:val="nil"/>
              <w:left w:val="nil"/>
              <w:bottom w:val="single" w:sz="4" w:space="0" w:color="auto"/>
              <w:right w:val="single" w:sz="4" w:space="0" w:color="auto"/>
            </w:tcBorders>
            <w:shd w:val="clear" w:color="000000" w:fill="FFE5E5"/>
            <w:vAlign w:val="center"/>
          </w:tcPr>
          <w:p w14:paraId="70D760C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более 180 дней</w:t>
            </w:r>
          </w:p>
        </w:tc>
        <w:tc>
          <w:tcPr>
            <w:tcW w:w="567" w:type="dxa"/>
            <w:tcBorders>
              <w:top w:val="nil"/>
              <w:left w:val="nil"/>
              <w:bottom w:val="single" w:sz="4" w:space="0" w:color="auto"/>
              <w:right w:val="single" w:sz="4" w:space="0" w:color="auto"/>
            </w:tcBorders>
            <w:shd w:val="clear" w:color="000000" w:fill="FFE5E5"/>
            <w:noWrap/>
            <w:vAlign w:val="center"/>
          </w:tcPr>
          <w:p w14:paraId="11A7CC8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165</w:t>
            </w:r>
          </w:p>
        </w:tc>
        <w:tc>
          <w:tcPr>
            <w:tcW w:w="709" w:type="dxa"/>
            <w:tcBorders>
              <w:top w:val="nil"/>
              <w:left w:val="nil"/>
              <w:bottom w:val="single" w:sz="4" w:space="0" w:color="auto"/>
              <w:right w:val="single" w:sz="4" w:space="0" w:color="auto"/>
            </w:tcBorders>
            <w:shd w:val="clear" w:color="000000" w:fill="FFE5E5"/>
            <w:noWrap/>
            <w:vAlign w:val="center"/>
          </w:tcPr>
          <w:p w14:paraId="6D5EB0D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150</w:t>
            </w:r>
          </w:p>
        </w:tc>
        <w:tc>
          <w:tcPr>
            <w:tcW w:w="567" w:type="dxa"/>
            <w:tcBorders>
              <w:top w:val="nil"/>
              <w:left w:val="nil"/>
              <w:bottom w:val="single" w:sz="4" w:space="0" w:color="auto"/>
              <w:right w:val="single" w:sz="4" w:space="0" w:color="auto"/>
            </w:tcBorders>
            <w:shd w:val="clear" w:color="000000" w:fill="FFE5E5"/>
            <w:noWrap/>
            <w:vAlign w:val="center"/>
          </w:tcPr>
          <w:p w14:paraId="64B3C2E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135</w:t>
            </w:r>
          </w:p>
        </w:tc>
        <w:tc>
          <w:tcPr>
            <w:tcW w:w="709" w:type="dxa"/>
            <w:tcBorders>
              <w:top w:val="nil"/>
              <w:left w:val="nil"/>
              <w:bottom w:val="single" w:sz="4" w:space="0" w:color="auto"/>
              <w:right w:val="single" w:sz="4" w:space="0" w:color="auto"/>
            </w:tcBorders>
            <w:shd w:val="clear" w:color="000000" w:fill="F8FFB9"/>
            <w:noWrap/>
            <w:vAlign w:val="center"/>
          </w:tcPr>
          <w:p w14:paraId="5F4845B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120</w:t>
            </w:r>
          </w:p>
        </w:tc>
        <w:tc>
          <w:tcPr>
            <w:tcW w:w="709" w:type="dxa"/>
            <w:tcBorders>
              <w:top w:val="nil"/>
              <w:left w:val="nil"/>
              <w:bottom w:val="single" w:sz="4" w:space="0" w:color="auto"/>
              <w:right w:val="single" w:sz="4" w:space="0" w:color="auto"/>
            </w:tcBorders>
            <w:shd w:val="clear" w:color="000000" w:fill="F8FFB9"/>
            <w:noWrap/>
            <w:vAlign w:val="center"/>
          </w:tcPr>
          <w:p w14:paraId="72A79A1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105</w:t>
            </w:r>
          </w:p>
        </w:tc>
        <w:tc>
          <w:tcPr>
            <w:tcW w:w="567" w:type="dxa"/>
            <w:tcBorders>
              <w:top w:val="nil"/>
              <w:left w:val="nil"/>
              <w:bottom w:val="single" w:sz="4" w:space="0" w:color="auto"/>
              <w:right w:val="single" w:sz="4" w:space="0" w:color="auto"/>
            </w:tcBorders>
            <w:shd w:val="clear" w:color="000000" w:fill="C6FED1"/>
            <w:noWrap/>
            <w:vAlign w:val="center"/>
          </w:tcPr>
          <w:p w14:paraId="22CEE33C"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90</w:t>
            </w:r>
          </w:p>
        </w:tc>
        <w:tc>
          <w:tcPr>
            <w:tcW w:w="708" w:type="dxa"/>
            <w:tcBorders>
              <w:top w:val="nil"/>
              <w:left w:val="nil"/>
              <w:bottom w:val="single" w:sz="4" w:space="0" w:color="auto"/>
              <w:right w:val="single" w:sz="4" w:space="0" w:color="auto"/>
            </w:tcBorders>
            <w:shd w:val="clear" w:color="000000" w:fill="C6FED1"/>
            <w:noWrap/>
            <w:vAlign w:val="center"/>
          </w:tcPr>
          <w:p w14:paraId="75F032E9"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75</w:t>
            </w:r>
          </w:p>
        </w:tc>
        <w:tc>
          <w:tcPr>
            <w:tcW w:w="567" w:type="dxa"/>
            <w:tcBorders>
              <w:top w:val="nil"/>
              <w:left w:val="nil"/>
              <w:bottom w:val="single" w:sz="4" w:space="0" w:color="auto"/>
              <w:right w:val="single" w:sz="4" w:space="0" w:color="auto"/>
            </w:tcBorders>
            <w:shd w:val="clear" w:color="000000" w:fill="C6FED1"/>
            <w:noWrap/>
            <w:vAlign w:val="center"/>
          </w:tcPr>
          <w:p w14:paraId="1ADE04B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60</w:t>
            </w:r>
          </w:p>
        </w:tc>
        <w:tc>
          <w:tcPr>
            <w:tcW w:w="567" w:type="dxa"/>
            <w:tcBorders>
              <w:top w:val="nil"/>
              <w:left w:val="nil"/>
              <w:bottom w:val="single" w:sz="4" w:space="0" w:color="auto"/>
              <w:right w:val="single" w:sz="4" w:space="0" w:color="auto"/>
            </w:tcBorders>
            <w:shd w:val="clear" w:color="000000" w:fill="C6FED1"/>
            <w:noWrap/>
            <w:vAlign w:val="center"/>
          </w:tcPr>
          <w:p w14:paraId="5268964F"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45</w:t>
            </w:r>
          </w:p>
        </w:tc>
        <w:tc>
          <w:tcPr>
            <w:tcW w:w="851" w:type="dxa"/>
            <w:tcBorders>
              <w:top w:val="nil"/>
              <w:left w:val="nil"/>
              <w:bottom w:val="single" w:sz="4" w:space="0" w:color="auto"/>
              <w:right w:val="single" w:sz="4" w:space="0" w:color="auto"/>
            </w:tcBorders>
            <w:shd w:val="clear" w:color="000000" w:fill="C6FED1"/>
            <w:vAlign w:val="center"/>
          </w:tcPr>
          <w:p w14:paraId="115B31C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 30 дней</w:t>
            </w:r>
          </w:p>
        </w:tc>
      </w:tr>
      <w:tr w:rsidR="00B06B6F" w:rsidRPr="00FC7951" w14:paraId="618B8C9C" w14:textId="77777777" w:rsidTr="001F127F">
        <w:trPr>
          <w:trHeight w:val="600"/>
        </w:trPr>
        <w:tc>
          <w:tcPr>
            <w:tcW w:w="1985" w:type="dxa"/>
            <w:tcBorders>
              <w:top w:val="nil"/>
              <w:left w:val="single" w:sz="4" w:space="0" w:color="auto"/>
              <w:bottom w:val="single" w:sz="4" w:space="0" w:color="auto"/>
              <w:right w:val="single" w:sz="4" w:space="0" w:color="auto"/>
            </w:tcBorders>
            <w:shd w:val="clear" w:color="auto" w:fill="auto"/>
          </w:tcPr>
          <w:p w14:paraId="3891C286"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период оборота кредиторской задолженности, </w:t>
            </w:r>
            <w:proofErr w:type="spellStart"/>
            <w:r w:rsidRPr="00FC7951">
              <w:rPr>
                <w:rFonts w:ascii="Times New Roman" w:hAnsi="Times New Roman" w:cs="Times New Roman"/>
                <w:color w:val="000000"/>
              </w:rPr>
              <w:t>дн</w:t>
            </w:r>
            <w:proofErr w:type="spellEnd"/>
          </w:p>
        </w:tc>
        <w:tc>
          <w:tcPr>
            <w:tcW w:w="850" w:type="dxa"/>
            <w:tcBorders>
              <w:top w:val="nil"/>
              <w:left w:val="nil"/>
              <w:bottom w:val="single" w:sz="4" w:space="0" w:color="auto"/>
              <w:right w:val="single" w:sz="4" w:space="0" w:color="auto"/>
            </w:tcBorders>
            <w:shd w:val="clear" w:color="000000" w:fill="FFE5E5"/>
            <w:vAlign w:val="center"/>
          </w:tcPr>
          <w:p w14:paraId="4AE06D0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более 180 дней</w:t>
            </w:r>
          </w:p>
        </w:tc>
        <w:tc>
          <w:tcPr>
            <w:tcW w:w="567" w:type="dxa"/>
            <w:tcBorders>
              <w:top w:val="nil"/>
              <w:left w:val="nil"/>
              <w:bottom w:val="single" w:sz="4" w:space="0" w:color="auto"/>
              <w:right w:val="single" w:sz="4" w:space="0" w:color="auto"/>
            </w:tcBorders>
            <w:shd w:val="clear" w:color="000000" w:fill="FFE5E5"/>
            <w:noWrap/>
            <w:vAlign w:val="center"/>
          </w:tcPr>
          <w:p w14:paraId="1EC3003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165</w:t>
            </w:r>
          </w:p>
        </w:tc>
        <w:tc>
          <w:tcPr>
            <w:tcW w:w="709" w:type="dxa"/>
            <w:tcBorders>
              <w:top w:val="nil"/>
              <w:left w:val="nil"/>
              <w:bottom w:val="single" w:sz="4" w:space="0" w:color="auto"/>
              <w:right w:val="single" w:sz="4" w:space="0" w:color="auto"/>
            </w:tcBorders>
            <w:shd w:val="clear" w:color="000000" w:fill="FFE5E5"/>
            <w:noWrap/>
            <w:vAlign w:val="center"/>
          </w:tcPr>
          <w:p w14:paraId="39EC9FB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150</w:t>
            </w:r>
          </w:p>
        </w:tc>
        <w:tc>
          <w:tcPr>
            <w:tcW w:w="567" w:type="dxa"/>
            <w:tcBorders>
              <w:top w:val="nil"/>
              <w:left w:val="nil"/>
              <w:bottom w:val="single" w:sz="4" w:space="0" w:color="auto"/>
              <w:right w:val="single" w:sz="4" w:space="0" w:color="auto"/>
            </w:tcBorders>
            <w:shd w:val="clear" w:color="000000" w:fill="FFE5E5"/>
            <w:noWrap/>
            <w:vAlign w:val="center"/>
          </w:tcPr>
          <w:p w14:paraId="45B8FA5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135</w:t>
            </w:r>
          </w:p>
        </w:tc>
        <w:tc>
          <w:tcPr>
            <w:tcW w:w="709" w:type="dxa"/>
            <w:tcBorders>
              <w:top w:val="nil"/>
              <w:left w:val="nil"/>
              <w:bottom w:val="single" w:sz="4" w:space="0" w:color="auto"/>
              <w:right w:val="single" w:sz="4" w:space="0" w:color="auto"/>
            </w:tcBorders>
            <w:shd w:val="clear" w:color="000000" w:fill="F8FFB9"/>
            <w:noWrap/>
            <w:vAlign w:val="center"/>
          </w:tcPr>
          <w:p w14:paraId="6469A06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120</w:t>
            </w:r>
          </w:p>
        </w:tc>
        <w:tc>
          <w:tcPr>
            <w:tcW w:w="709" w:type="dxa"/>
            <w:tcBorders>
              <w:top w:val="nil"/>
              <w:left w:val="nil"/>
              <w:bottom w:val="single" w:sz="4" w:space="0" w:color="auto"/>
              <w:right w:val="single" w:sz="4" w:space="0" w:color="auto"/>
            </w:tcBorders>
            <w:shd w:val="clear" w:color="000000" w:fill="F8FFB9"/>
            <w:noWrap/>
            <w:vAlign w:val="center"/>
          </w:tcPr>
          <w:p w14:paraId="433C1285"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105</w:t>
            </w:r>
          </w:p>
        </w:tc>
        <w:tc>
          <w:tcPr>
            <w:tcW w:w="567" w:type="dxa"/>
            <w:tcBorders>
              <w:top w:val="nil"/>
              <w:left w:val="nil"/>
              <w:bottom w:val="single" w:sz="4" w:space="0" w:color="auto"/>
              <w:right w:val="single" w:sz="4" w:space="0" w:color="auto"/>
            </w:tcBorders>
            <w:shd w:val="clear" w:color="000000" w:fill="C6FED1"/>
            <w:noWrap/>
            <w:vAlign w:val="center"/>
          </w:tcPr>
          <w:p w14:paraId="729F5680"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90</w:t>
            </w:r>
          </w:p>
        </w:tc>
        <w:tc>
          <w:tcPr>
            <w:tcW w:w="708" w:type="dxa"/>
            <w:tcBorders>
              <w:top w:val="nil"/>
              <w:left w:val="nil"/>
              <w:bottom w:val="single" w:sz="4" w:space="0" w:color="auto"/>
              <w:right w:val="single" w:sz="4" w:space="0" w:color="auto"/>
            </w:tcBorders>
            <w:shd w:val="clear" w:color="000000" w:fill="C6FED1"/>
            <w:noWrap/>
            <w:vAlign w:val="center"/>
          </w:tcPr>
          <w:p w14:paraId="65C652B3"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75</w:t>
            </w:r>
          </w:p>
        </w:tc>
        <w:tc>
          <w:tcPr>
            <w:tcW w:w="567" w:type="dxa"/>
            <w:tcBorders>
              <w:top w:val="nil"/>
              <w:left w:val="nil"/>
              <w:bottom w:val="single" w:sz="4" w:space="0" w:color="auto"/>
              <w:right w:val="single" w:sz="4" w:space="0" w:color="auto"/>
            </w:tcBorders>
            <w:shd w:val="clear" w:color="000000" w:fill="C6FED1"/>
            <w:noWrap/>
            <w:vAlign w:val="center"/>
          </w:tcPr>
          <w:p w14:paraId="045F93F1"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60</w:t>
            </w:r>
          </w:p>
        </w:tc>
        <w:tc>
          <w:tcPr>
            <w:tcW w:w="567" w:type="dxa"/>
            <w:tcBorders>
              <w:top w:val="nil"/>
              <w:left w:val="nil"/>
              <w:bottom w:val="single" w:sz="4" w:space="0" w:color="auto"/>
              <w:right w:val="single" w:sz="4" w:space="0" w:color="auto"/>
            </w:tcBorders>
            <w:shd w:val="clear" w:color="000000" w:fill="C6FED1"/>
            <w:noWrap/>
            <w:vAlign w:val="center"/>
          </w:tcPr>
          <w:p w14:paraId="61BB422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45</w:t>
            </w:r>
          </w:p>
        </w:tc>
        <w:tc>
          <w:tcPr>
            <w:tcW w:w="851" w:type="dxa"/>
            <w:tcBorders>
              <w:top w:val="nil"/>
              <w:left w:val="nil"/>
              <w:bottom w:val="single" w:sz="4" w:space="0" w:color="auto"/>
              <w:right w:val="single" w:sz="4" w:space="0" w:color="auto"/>
            </w:tcBorders>
            <w:shd w:val="clear" w:color="000000" w:fill="C6FED1"/>
            <w:vAlign w:val="center"/>
          </w:tcPr>
          <w:p w14:paraId="67E544C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до 30 дней</w:t>
            </w:r>
          </w:p>
        </w:tc>
      </w:tr>
    </w:tbl>
    <w:p w14:paraId="419E171C" w14:textId="77777777" w:rsidR="00B06B6F" w:rsidRPr="00791B2D" w:rsidRDefault="00B06B6F" w:rsidP="00725F19">
      <w:pPr>
        <w:spacing w:before="120" w:after="120"/>
        <w:jc w:val="both"/>
        <w:rPr>
          <w:rFonts w:ascii="Times New Roman" w:hAnsi="Times New Roman" w:cs="Times New Roman"/>
          <w:sz w:val="24"/>
          <w:szCs w:val="24"/>
        </w:rPr>
      </w:pPr>
    </w:p>
    <w:p w14:paraId="68E9703A" w14:textId="77777777" w:rsidR="00B06B6F" w:rsidRPr="00791B2D" w:rsidRDefault="00B06B6F" w:rsidP="00725F19">
      <w:pPr>
        <w:numPr>
          <w:ilvl w:val="1"/>
          <w:numId w:val="1"/>
        </w:numPr>
        <w:tabs>
          <w:tab w:val="left" w:pos="1134"/>
        </w:tabs>
        <w:spacing w:before="120" w:after="120" w:line="240" w:lineRule="auto"/>
        <w:ind w:left="0" w:firstLine="709"/>
        <w:jc w:val="both"/>
        <w:rPr>
          <w:rFonts w:ascii="Times New Roman" w:hAnsi="Times New Roman" w:cs="Times New Roman"/>
          <w:b/>
          <w:sz w:val="24"/>
          <w:szCs w:val="24"/>
        </w:rPr>
      </w:pPr>
      <w:r w:rsidRPr="00791B2D">
        <w:rPr>
          <w:rFonts w:ascii="Times New Roman" w:hAnsi="Times New Roman" w:cs="Times New Roman"/>
          <w:b/>
          <w:sz w:val="24"/>
          <w:szCs w:val="24"/>
        </w:rPr>
        <w:t>Коэффициенты, характеризующие ликвидность</w:t>
      </w:r>
    </w:p>
    <w:p w14:paraId="5E833FDA"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Абсолютная ликвидность</w:t>
      </w:r>
    </w:p>
    <w:p w14:paraId="6C3585C7"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Абсолютная ликвидность - отражает возможность предприятия погасить свои краткосрочные обязательства практически мгновенно (мгновенная платежеспособность).</w:t>
      </w:r>
    </w:p>
    <w:p w14:paraId="5C5A1F99" w14:textId="77777777" w:rsidR="00B06B6F" w:rsidRPr="00FC7951" w:rsidRDefault="00B06B6F" w:rsidP="00725F19">
      <w:pPr>
        <w:tabs>
          <w:tab w:val="left" w:pos="1134"/>
        </w:tabs>
        <w:spacing w:before="120" w:after="120"/>
        <w:ind w:firstLine="709"/>
        <w:jc w:val="both"/>
        <w:rPr>
          <w:rFonts w:ascii="Times New Roman" w:hAnsi="Times New Roman" w:cs="Times New Roman"/>
          <w:lang w:val="en-US"/>
        </w:rPr>
      </w:pPr>
      <w:r w:rsidRPr="00FC7951">
        <w:rPr>
          <w:rFonts w:ascii="Times New Roman" w:hAnsi="Times New Roman" w:cs="Times New Roman"/>
        </w:rPr>
        <w:object w:dxaOrig="3540" w:dyaOrig="680" w14:anchorId="1F0C73C9">
          <v:shape id="_x0000_i1028" type="#_x0000_t75" style="width:180pt;height:36pt" o:ole="">
            <v:imagedata r:id="rId14" o:title=""/>
          </v:shape>
          <o:OLEObject Type="Embed" ProgID="Equation.3" ShapeID="_x0000_i1028" DrawAspect="Content" ObjectID="_1727853992" r:id="rId15"/>
        </w:object>
      </w:r>
    </w:p>
    <w:p w14:paraId="087B179D" w14:textId="77777777" w:rsidR="00B06B6F" w:rsidRPr="00791B2D" w:rsidRDefault="00B06B6F" w:rsidP="00725F19">
      <w:pPr>
        <w:numPr>
          <w:ilvl w:val="2"/>
          <w:numId w:val="1"/>
        </w:numPr>
        <w:tabs>
          <w:tab w:val="left" w:pos="1134"/>
        </w:tabs>
        <w:spacing w:before="120" w:after="120" w:line="240" w:lineRule="auto"/>
        <w:ind w:left="0" w:firstLine="709"/>
        <w:jc w:val="both"/>
        <w:rPr>
          <w:rFonts w:ascii="Times New Roman" w:hAnsi="Times New Roman" w:cs="Times New Roman"/>
          <w:b/>
          <w:i/>
          <w:sz w:val="24"/>
          <w:szCs w:val="24"/>
        </w:rPr>
      </w:pPr>
      <w:r w:rsidRPr="00791B2D">
        <w:rPr>
          <w:rFonts w:ascii="Times New Roman" w:hAnsi="Times New Roman" w:cs="Times New Roman"/>
          <w:b/>
          <w:i/>
          <w:sz w:val="24"/>
          <w:szCs w:val="24"/>
        </w:rPr>
        <w:t>Покрытие внеоборотных активов долгосрочными источниками финансирования</w:t>
      </w:r>
    </w:p>
    <w:p w14:paraId="75458C24"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Коэффициент покрытия внеоборотных активов собственным капиталом и долгосрочными обязательствами – отражает, в какой степени внеоборотные активы предприятия финансируются долгосрочным капиталом (заемным и собственным). Коэффициент оценивает ликвидность баланса участника</w:t>
      </w:r>
    </w:p>
    <w:p w14:paraId="081E446E" w14:textId="77777777" w:rsidR="00B06B6F" w:rsidRPr="00FC7951" w:rsidRDefault="00B06B6F" w:rsidP="00725F19">
      <w:pPr>
        <w:tabs>
          <w:tab w:val="left" w:pos="1134"/>
        </w:tabs>
        <w:spacing w:before="120" w:after="120"/>
        <w:ind w:firstLine="709"/>
        <w:jc w:val="both"/>
        <w:rPr>
          <w:rFonts w:ascii="Times New Roman" w:hAnsi="Times New Roman" w:cs="Times New Roman"/>
        </w:rPr>
      </w:pPr>
      <w:r w:rsidRPr="00FC7951">
        <w:rPr>
          <w:rFonts w:ascii="Times New Roman" w:hAnsi="Times New Roman" w:cs="Times New Roman"/>
          <w:position w:val="-30"/>
        </w:rPr>
        <w:object w:dxaOrig="5940" w:dyaOrig="680" w14:anchorId="3BC2AB7B">
          <v:shape id="_x0000_i1029" type="#_x0000_t75" style="width:295.8pt;height:36pt" o:ole="">
            <v:imagedata r:id="rId16" o:title=""/>
          </v:shape>
          <o:OLEObject Type="Embed" ProgID="Equation.3" ShapeID="_x0000_i1029" DrawAspect="Content" ObjectID="_1727853993" r:id="rId17"/>
        </w:object>
      </w:r>
    </w:p>
    <w:p w14:paraId="0C33F37A" w14:textId="77777777" w:rsidR="00B06B6F" w:rsidRPr="00FC7951" w:rsidRDefault="00B06B6F" w:rsidP="00725F19">
      <w:pPr>
        <w:jc w:val="right"/>
        <w:rPr>
          <w:rFonts w:ascii="Times New Roman" w:hAnsi="Times New Roman" w:cs="Times New Roman"/>
          <w:lang w:val="en-US"/>
        </w:rPr>
      </w:pPr>
    </w:p>
    <w:p w14:paraId="401035AF" w14:textId="77777777" w:rsidR="00B06B6F" w:rsidRPr="00FC7951" w:rsidRDefault="00B06B6F" w:rsidP="00725F19">
      <w:pPr>
        <w:jc w:val="right"/>
        <w:rPr>
          <w:rFonts w:ascii="Times New Roman" w:hAnsi="Times New Roman" w:cs="Times New Roman"/>
          <w:lang w:val="en-US"/>
        </w:rPr>
      </w:pPr>
    </w:p>
    <w:p w14:paraId="48E8546A" w14:textId="77777777" w:rsidR="00B06B6F" w:rsidRPr="00FC7951" w:rsidRDefault="00B06B6F" w:rsidP="00387421">
      <w:pPr>
        <w:jc w:val="right"/>
        <w:rPr>
          <w:rFonts w:ascii="Times New Roman" w:hAnsi="Times New Roman" w:cs="Times New Roman"/>
        </w:rPr>
      </w:pPr>
      <w:r w:rsidRPr="00FC7951">
        <w:rPr>
          <w:rFonts w:ascii="Times New Roman" w:hAnsi="Times New Roman" w:cs="Times New Roman"/>
        </w:rPr>
        <w:t>Таблица перевода значений финансовых показат</w:t>
      </w:r>
      <w:r w:rsidR="00387421">
        <w:rPr>
          <w:rFonts w:ascii="Times New Roman" w:hAnsi="Times New Roman" w:cs="Times New Roman"/>
        </w:rPr>
        <w:t>елей в баллы по шкале от 0 до 1</w:t>
      </w:r>
    </w:p>
    <w:tbl>
      <w:tblPr>
        <w:tblW w:w="9498" w:type="dxa"/>
        <w:tblInd w:w="-5" w:type="dxa"/>
        <w:tblLayout w:type="fixed"/>
        <w:tblLook w:val="04A0" w:firstRow="1" w:lastRow="0" w:firstColumn="1" w:lastColumn="0" w:noHBand="0" w:noVBand="1"/>
      </w:tblPr>
      <w:tblGrid>
        <w:gridCol w:w="1560"/>
        <w:gridCol w:w="850"/>
        <w:gridCol w:w="709"/>
        <w:gridCol w:w="709"/>
        <w:gridCol w:w="708"/>
        <w:gridCol w:w="709"/>
        <w:gridCol w:w="709"/>
        <w:gridCol w:w="709"/>
        <w:gridCol w:w="567"/>
        <w:gridCol w:w="708"/>
        <w:gridCol w:w="709"/>
        <w:gridCol w:w="851"/>
      </w:tblGrid>
      <w:tr w:rsidR="00387421" w:rsidRPr="00FC7951" w14:paraId="2DADBC77" w14:textId="77777777" w:rsidTr="00387421">
        <w:trPr>
          <w:trHeight w:val="300"/>
        </w:trPr>
        <w:tc>
          <w:tcPr>
            <w:tcW w:w="1560"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3FB382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27A7161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lastRenderedPageBreak/>
              <w:t>(мин 0 - макс 1)</w:t>
            </w:r>
          </w:p>
        </w:tc>
        <w:tc>
          <w:tcPr>
            <w:tcW w:w="850" w:type="dxa"/>
            <w:tcBorders>
              <w:top w:val="single" w:sz="4" w:space="0" w:color="auto"/>
              <w:left w:val="nil"/>
              <w:bottom w:val="single" w:sz="4" w:space="0" w:color="auto"/>
              <w:right w:val="single" w:sz="4" w:space="0" w:color="auto"/>
            </w:tcBorders>
            <w:shd w:val="clear" w:color="000000" w:fill="F2F2F2"/>
            <w:noWrap/>
            <w:vAlign w:val="center"/>
          </w:tcPr>
          <w:p w14:paraId="5007B1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lastRenderedPageBreak/>
              <w:t>0,0</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5237DF3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47BF3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622B669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60BD0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7E3B4B1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43BC7C6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30FE8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2FC6046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5AA41F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6555F53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387421" w:rsidRPr="00FC7951" w14:paraId="1D4043AE" w14:textId="77777777" w:rsidTr="00387421">
        <w:trPr>
          <w:trHeight w:val="600"/>
        </w:trPr>
        <w:tc>
          <w:tcPr>
            <w:tcW w:w="1560" w:type="dxa"/>
            <w:tcBorders>
              <w:top w:val="nil"/>
              <w:left w:val="single" w:sz="4" w:space="0" w:color="auto"/>
              <w:bottom w:val="single" w:sz="4" w:space="0" w:color="auto"/>
              <w:right w:val="single" w:sz="4" w:space="0" w:color="auto"/>
            </w:tcBorders>
            <w:shd w:val="clear" w:color="auto" w:fill="auto"/>
            <w:vAlign w:val="center"/>
          </w:tcPr>
          <w:p w14:paraId="7D23E783"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Абсолютная ликвидность </w:t>
            </w:r>
          </w:p>
        </w:tc>
        <w:tc>
          <w:tcPr>
            <w:tcW w:w="850" w:type="dxa"/>
            <w:tcBorders>
              <w:top w:val="nil"/>
              <w:left w:val="nil"/>
              <w:bottom w:val="single" w:sz="4" w:space="0" w:color="auto"/>
              <w:right w:val="single" w:sz="4" w:space="0" w:color="auto"/>
            </w:tcBorders>
            <w:shd w:val="clear" w:color="000000" w:fill="FFE5E5"/>
            <w:vAlign w:val="center"/>
          </w:tcPr>
          <w:p w14:paraId="657574F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0,02</w:t>
            </w:r>
          </w:p>
        </w:tc>
        <w:tc>
          <w:tcPr>
            <w:tcW w:w="709" w:type="dxa"/>
            <w:tcBorders>
              <w:top w:val="nil"/>
              <w:left w:val="nil"/>
              <w:bottom w:val="single" w:sz="4" w:space="0" w:color="auto"/>
              <w:right w:val="single" w:sz="4" w:space="0" w:color="auto"/>
            </w:tcBorders>
            <w:shd w:val="clear" w:color="000000" w:fill="FFE5E5"/>
            <w:noWrap/>
            <w:vAlign w:val="center"/>
          </w:tcPr>
          <w:p w14:paraId="6615029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0,03</w:t>
            </w:r>
          </w:p>
        </w:tc>
        <w:tc>
          <w:tcPr>
            <w:tcW w:w="709" w:type="dxa"/>
            <w:tcBorders>
              <w:top w:val="nil"/>
              <w:left w:val="nil"/>
              <w:bottom w:val="single" w:sz="4" w:space="0" w:color="auto"/>
              <w:right w:val="single" w:sz="4" w:space="0" w:color="auto"/>
            </w:tcBorders>
            <w:shd w:val="clear" w:color="000000" w:fill="FFE5E5"/>
            <w:noWrap/>
            <w:vAlign w:val="center"/>
          </w:tcPr>
          <w:p w14:paraId="4F124DE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0,04</w:t>
            </w:r>
          </w:p>
        </w:tc>
        <w:tc>
          <w:tcPr>
            <w:tcW w:w="708" w:type="dxa"/>
            <w:tcBorders>
              <w:top w:val="nil"/>
              <w:left w:val="nil"/>
              <w:bottom w:val="single" w:sz="4" w:space="0" w:color="auto"/>
              <w:right w:val="single" w:sz="4" w:space="0" w:color="auto"/>
            </w:tcBorders>
            <w:shd w:val="clear" w:color="000000" w:fill="FFE5E5"/>
            <w:noWrap/>
            <w:vAlign w:val="center"/>
          </w:tcPr>
          <w:p w14:paraId="0C435CF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w:t>
            </w:r>
          </w:p>
        </w:tc>
        <w:tc>
          <w:tcPr>
            <w:tcW w:w="709" w:type="dxa"/>
            <w:tcBorders>
              <w:top w:val="nil"/>
              <w:left w:val="nil"/>
              <w:bottom w:val="single" w:sz="4" w:space="0" w:color="auto"/>
              <w:right w:val="single" w:sz="4" w:space="0" w:color="auto"/>
            </w:tcBorders>
            <w:shd w:val="clear" w:color="000000" w:fill="F8FFB9"/>
            <w:noWrap/>
            <w:vAlign w:val="center"/>
          </w:tcPr>
          <w:p w14:paraId="0F52B6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0,06</w:t>
            </w:r>
          </w:p>
        </w:tc>
        <w:tc>
          <w:tcPr>
            <w:tcW w:w="709" w:type="dxa"/>
            <w:tcBorders>
              <w:top w:val="nil"/>
              <w:left w:val="nil"/>
              <w:bottom w:val="single" w:sz="4" w:space="0" w:color="auto"/>
              <w:right w:val="single" w:sz="4" w:space="0" w:color="auto"/>
            </w:tcBorders>
            <w:shd w:val="clear" w:color="000000" w:fill="F8FFB9"/>
            <w:noWrap/>
            <w:vAlign w:val="center"/>
          </w:tcPr>
          <w:p w14:paraId="73281C0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709" w:type="dxa"/>
            <w:tcBorders>
              <w:top w:val="nil"/>
              <w:left w:val="nil"/>
              <w:bottom w:val="single" w:sz="4" w:space="0" w:color="auto"/>
              <w:right w:val="single" w:sz="4" w:space="0" w:color="auto"/>
            </w:tcBorders>
            <w:shd w:val="clear" w:color="000000" w:fill="C6FED1"/>
            <w:noWrap/>
            <w:vAlign w:val="center"/>
          </w:tcPr>
          <w:p w14:paraId="64C949D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0,09</w:t>
            </w:r>
          </w:p>
        </w:tc>
        <w:tc>
          <w:tcPr>
            <w:tcW w:w="567" w:type="dxa"/>
            <w:tcBorders>
              <w:top w:val="nil"/>
              <w:left w:val="nil"/>
              <w:bottom w:val="single" w:sz="4" w:space="0" w:color="auto"/>
              <w:right w:val="single" w:sz="4" w:space="0" w:color="auto"/>
            </w:tcBorders>
            <w:shd w:val="clear" w:color="000000" w:fill="C6FED1"/>
            <w:noWrap/>
            <w:vAlign w:val="center"/>
          </w:tcPr>
          <w:p w14:paraId="192351A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8" w:type="dxa"/>
            <w:tcBorders>
              <w:top w:val="nil"/>
              <w:left w:val="nil"/>
              <w:bottom w:val="single" w:sz="4" w:space="0" w:color="auto"/>
              <w:right w:val="single" w:sz="4" w:space="0" w:color="auto"/>
            </w:tcBorders>
            <w:shd w:val="clear" w:color="000000" w:fill="C6FED1"/>
            <w:noWrap/>
            <w:vAlign w:val="center"/>
          </w:tcPr>
          <w:p w14:paraId="7B00D14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0,13</w:t>
            </w:r>
          </w:p>
        </w:tc>
        <w:tc>
          <w:tcPr>
            <w:tcW w:w="709" w:type="dxa"/>
            <w:tcBorders>
              <w:top w:val="nil"/>
              <w:left w:val="nil"/>
              <w:bottom w:val="single" w:sz="4" w:space="0" w:color="auto"/>
              <w:right w:val="single" w:sz="4" w:space="0" w:color="auto"/>
            </w:tcBorders>
            <w:shd w:val="clear" w:color="000000" w:fill="C6FED1"/>
            <w:noWrap/>
            <w:vAlign w:val="center"/>
          </w:tcPr>
          <w:p w14:paraId="696A82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0,17</w:t>
            </w:r>
          </w:p>
        </w:tc>
        <w:tc>
          <w:tcPr>
            <w:tcW w:w="851" w:type="dxa"/>
            <w:tcBorders>
              <w:top w:val="nil"/>
              <w:left w:val="nil"/>
              <w:bottom w:val="single" w:sz="4" w:space="0" w:color="auto"/>
              <w:right w:val="single" w:sz="4" w:space="0" w:color="auto"/>
            </w:tcBorders>
            <w:shd w:val="clear" w:color="000000" w:fill="C6FED1"/>
            <w:vAlign w:val="center"/>
          </w:tcPr>
          <w:p w14:paraId="3619F7B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0,2</w:t>
            </w:r>
          </w:p>
        </w:tc>
      </w:tr>
      <w:tr w:rsidR="00387421" w:rsidRPr="00FC7951" w14:paraId="5E61462D" w14:textId="77777777" w:rsidTr="00387421">
        <w:trPr>
          <w:trHeight w:val="1500"/>
        </w:trPr>
        <w:tc>
          <w:tcPr>
            <w:tcW w:w="1560" w:type="dxa"/>
            <w:tcBorders>
              <w:top w:val="nil"/>
              <w:left w:val="single" w:sz="4" w:space="0" w:color="auto"/>
              <w:bottom w:val="single" w:sz="4" w:space="0" w:color="auto"/>
              <w:right w:val="single" w:sz="4" w:space="0" w:color="auto"/>
            </w:tcBorders>
            <w:shd w:val="clear" w:color="auto" w:fill="auto"/>
            <w:vAlign w:val="center"/>
          </w:tcPr>
          <w:p w14:paraId="45711FC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Покрытие внеоборотных активов долгосрочными источниками финансирования</w:t>
            </w:r>
          </w:p>
        </w:tc>
        <w:tc>
          <w:tcPr>
            <w:tcW w:w="850" w:type="dxa"/>
            <w:tcBorders>
              <w:top w:val="nil"/>
              <w:left w:val="nil"/>
              <w:bottom w:val="single" w:sz="4" w:space="0" w:color="auto"/>
              <w:right w:val="single" w:sz="4" w:space="0" w:color="auto"/>
            </w:tcBorders>
            <w:shd w:val="clear" w:color="000000" w:fill="FFE5E5"/>
            <w:vAlign w:val="center"/>
          </w:tcPr>
          <w:p w14:paraId="1FDD36F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1,8</w:t>
            </w:r>
          </w:p>
        </w:tc>
        <w:tc>
          <w:tcPr>
            <w:tcW w:w="709" w:type="dxa"/>
            <w:tcBorders>
              <w:top w:val="nil"/>
              <w:left w:val="nil"/>
              <w:bottom w:val="single" w:sz="4" w:space="0" w:color="auto"/>
              <w:right w:val="single" w:sz="4" w:space="0" w:color="auto"/>
            </w:tcBorders>
            <w:shd w:val="clear" w:color="000000" w:fill="FFE5E5"/>
            <w:noWrap/>
            <w:vAlign w:val="center"/>
          </w:tcPr>
          <w:p w14:paraId="0493610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1,7</w:t>
            </w:r>
          </w:p>
        </w:tc>
        <w:tc>
          <w:tcPr>
            <w:tcW w:w="709" w:type="dxa"/>
            <w:tcBorders>
              <w:top w:val="nil"/>
              <w:left w:val="nil"/>
              <w:bottom w:val="single" w:sz="4" w:space="0" w:color="auto"/>
              <w:right w:val="single" w:sz="4" w:space="0" w:color="auto"/>
            </w:tcBorders>
            <w:shd w:val="clear" w:color="000000" w:fill="FFE5E5"/>
            <w:noWrap/>
            <w:vAlign w:val="center"/>
          </w:tcPr>
          <w:p w14:paraId="24FD15B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1,6</w:t>
            </w:r>
          </w:p>
        </w:tc>
        <w:tc>
          <w:tcPr>
            <w:tcW w:w="708" w:type="dxa"/>
            <w:tcBorders>
              <w:top w:val="nil"/>
              <w:left w:val="nil"/>
              <w:bottom w:val="single" w:sz="4" w:space="0" w:color="auto"/>
              <w:right w:val="single" w:sz="4" w:space="0" w:color="auto"/>
            </w:tcBorders>
            <w:shd w:val="clear" w:color="000000" w:fill="FFE5E5"/>
            <w:noWrap/>
            <w:vAlign w:val="center"/>
          </w:tcPr>
          <w:p w14:paraId="1C36E9B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1,5</w:t>
            </w:r>
          </w:p>
        </w:tc>
        <w:tc>
          <w:tcPr>
            <w:tcW w:w="709" w:type="dxa"/>
            <w:tcBorders>
              <w:top w:val="nil"/>
              <w:left w:val="nil"/>
              <w:bottom w:val="single" w:sz="4" w:space="0" w:color="auto"/>
              <w:right w:val="single" w:sz="4" w:space="0" w:color="auto"/>
            </w:tcBorders>
            <w:shd w:val="clear" w:color="000000" w:fill="F8FFB9"/>
            <w:noWrap/>
            <w:vAlign w:val="center"/>
          </w:tcPr>
          <w:p w14:paraId="01B102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w:t>
            </w:r>
          </w:p>
        </w:tc>
        <w:tc>
          <w:tcPr>
            <w:tcW w:w="709" w:type="dxa"/>
            <w:tcBorders>
              <w:top w:val="nil"/>
              <w:left w:val="nil"/>
              <w:bottom w:val="single" w:sz="4" w:space="0" w:color="auto"/>
              <w:right w:val="single" w:sz="4" w:space="0" w:color="auto"/>
            </w:tcBorders>
            <w:shd w:val="clear" w:color="000000" w:fill="F8FFB9"/>
            <w:noWrap/>
            <w:vAlign w:val="center"/>
          </w:tcPr>
          <w:p w14:paraId="7EB2F2C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1,3</w:t>
            </w:r>
          </w:p>
        </w:tc>
        <w:tc>
          <w:tcPr>
            <w:tcW w:w="709" w:type="dxa"/>
            <w:tcBorders>
              <w:top w:val="nil"/>
              <w:left w:val="nil"/>
              <w:bottom w:val="single" w:sz="4" w:space="0" w:color="auto"/>
              <w:right w:val="single" w:sz="4" w:space="0" w:color="auto"/>
            </w:tcBorders>
            <w:shd w:val="clear" w:color="000000" w:fill="C6FED1"/>
            <w:noWrap/>
            <w:vAlign w:val="center"/>
          </w:tcPr>
          <w:p w14:paraId="3217D6B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1,2</w:t>
            </w:r>
          </w:p>
        </w:tc>
        <w:tc>
          <w:tcPr>
            <w:tcW w:w="567" w:type="dxa"/>
            <w:tcBorders>
              <w:top w:val="nil"/>
              <w:left w:val="nil"/>
              <w:bottom w:val="single" w:sz="4" w:space="0" w:color="auto"/>
              <w:right w:val="single" w:sz="4" w:space="0" w:color="auto"/>
            </w:tcBorders>
            <w:shd w:val="clear" w:color="000000" w:fill="C6FED1"/>
            <w:noWrap/>
            <w:vAlign w:val="center"/>
          </w:tcPr>
          <w:p w14:paraId="5794298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1,1</w:t>
            </w:r>
          </w:p>
        </w:tc>
        <w:tc>
          <w:tcPr>
            <w:tcW w:w="708" w:type="dxa"/>
            <w:tcBorders>
              <w:top w:val="nil"/>
              <w:left w:val="nil"/>
              <w:bottom w:val="single" w:sz="4" w:space="0" w:color="auto"/>
              <w:right w:val="single" w:sz="4" w:space="0" w:color="auto"/>
            </w:tcBorders>
            <w:shd w:val="clear" w:color="000000" w:fill="C6FED1"/>
            <w:noWrap/>
            <w:vAlign w:val="center"/>
          </w:tcPr>
          <w:p w14:paraId="6A0A091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c>
          <w:tcPr>
            <w:tcW w:w="709" w:type="dxa"/>
            <w:tcBorders>
              <w:top w:val="nil"/>
              <w:left w:val="nil"/>
              <w:bottom w:val="single" w:sz="4" w:space="0" w:color="auto"/>
              <w:right w:val="single" w:sz="4" w:space="0" w:color="auto"/>
            </w:tcBorders>
            <w:shd w:val="clear" w:color="000000" w:fill="C6FED1"/>
            <w:noWrap/>
            <w:vAlign w:val="center"/>
          </w:tcPr>
          <w:p w14:paraId="1E0BAA8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nil"/>
              <w:left w:val="nil"/>
              <w:bottom w:val="single" w:sz="4" w:space="0" w:color="auto"/>
              <w:right w:val="single" w:sz="4" w:space="0" w:color="auto"/>
            </w:tcBorders>
            <w:shd w:val="clear" w:color="000000" w:fill="C6FED1"/>
            <w:vAlign w:val="center"/>
          </w:tcPr>
          <w:p w14:paraId="4099912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0,8</w:t>
            </w:r>
          </w:p>
        </w:tc>
      </w:tr>
    </w:tbl>
    <w:p w14:paraId="54CE061C" w14:textId="77777777" w:rsidR="00B06B6F" w:rsidRPr="00FC7951" w:rsidRDefault="00B06B6F" w:rsidP="00725F19">
      <w:pPr>
        <w:rPr>
          <w:rFonts w:ascii="Times New Roman" w:hAnsi="Times New Roman" w:cs="Times New Roman"/>
        </w:rPr>
      </w:pPr>
    </w:p>
    <w:p w14:paraId="7ECD513C" w14:textId="77777777" w:rsidR="00B06B6F" w:rsidRPr="00791B2D" w:rsidRDefault="00B06B6F" w:rsidP="00725F19">
      <w:pPr>
        <w:pStyle w:val="1"/>
        <w:tabs>
          <w:tab w:val="clear" w:pos="1353"/>
          <w:tab w:val="left" w:pos="1134"/>
          <w:tab w:val="num" w:pos="1418"/>
        </w:tabs>
        <w:ind w:left="0" w:firstLine="709"/>
      </w:pPr>
      <w:bookmarkStart w:id="22" w:name="_Toc107244334"/>
      <w:bookmarkStart w:id="23" w:name="_Toc107247773"/>
      <w:r w:rsidRPr="00791B2D">
        <w:t>ГРУППА ПОКАЗАТЕЛЕЙ БИЗНЕС-РИСКА</w:t>
      </w:r>
      <w:bookmarkEnd w:id="22"/>
      <w:bookmarkEnd w:id="23"/>
      <w:r w:rsidRPr="00791B2D">
        <w:t xml:space="preserve"> </w:t>
      </w:r>
    </w:p>
    <w:p w14:paraId="25B26EAC" w14:textId="77777777" w:rsidR="00B06B6F" w:rsidRPr="00791B2D" w:rsidRDefault="00B06B6F" w:rsidP="00725F19">
      <w:pPr>
        <w:pStyle w:val="ac"/>
        <w:numPr>
          <w:ilvl w:val="1"/>
          <w:numId w:val="1"/>
        </w:numPr>
        <w:tabs>
          <w:tab w:val="left" w:pos="1134"/>
        </w:tabs>
        <w:spacing w:before="120" w:after="120"/>
        <w:ind w:left="0" w:firstLine="709"/>
        <w:rPr>
          <w:b/>
        </w:rPr>
      </w:pPr>
      <w:r w:rsidRPr="00791B2D">
        <w:rPr>
          <w:b/>
        </w:rPr>
        <w:t>Соответствие масштабов деятельности участника закупочной процедуры сумме закупки (в сравнении с активами, с выручкой)</w:t>
      </w:r>
    </w:p>
    <w:p w14:paraId="494C8A56"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t>Методикой предусмотрен принцип оценки, согласно которому понятие финансовой устойчивости включает в себя планомерное стабильное развитие оцениваемых участников, исключающих значительные колебания результатов деятельности – выручки и прибыли. Чрезмерное увеличение объема заказов на предлагаемые продукцию или услуги, может привести к дефициту кадровых ресурсов, материально-технических ресурсов и, как следствие, дефициту финансовых ресурсов у участников закупочных процедур, что в свою очередь может негативно повлиять на их финансовую устойчивость. Поэтому для всех участников закупочных процедур, включая участников, имеющих исключительно хорошие финансовые показатели на момент оценки, должен выполняться принцип соответствия текущих масштабов деятельности и планируемой суммы закупки.</w:t>
      </w:r>
    </w:p>
    <w:p w14:paraId="1863D485"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 значений показателей в баллы по шкале от 0 до 1</w:t>
      </w:r>
    </w:p>
    <w:tbl>
      <w:tblPr>
        <w:tblW w:w="9356" w:type="dxa"/>
        <w:tblInd w:w="-5" w:type="dxa"/>
        <w:tblLayout w:type="fixed"/>
        <w:tblLook w:val="04A0" w:firstRow="1" w:lastRow="0" w:firstColumn="1" w:lastColumn="0" w:noHBand="0" w:noVBand="1"/>
      </w:tblPr>
      <w:tblGrid>
        <w:gridCol w:w="1843"/>
        <w:gridCol w:w="851"/>
        <w:gridCol w:w="567"/>
        <w:gridCol w:w="567"/>
        <w:gridCol w:w="708"/>
        <w:gridCol w:w="709"/>
        <w:gridCol w:w="709"/>
        <w:gridCol w:w="709"/>
        <w:gridCol w:w="567"/>
        <w:gridCol w:w="708"/>
        <w:gridCol w:w="567"/>
        <w:gridCol w:w="851"/>
      </w:tblGrid>
      <w:tr w:rsidR="00B06B6F" w:rsidRPr="00FC7951" w14:paraId="4926DA18" w14:textId="77777777" w:rsidTr="003F4A32">
        <w:trPr>
          <w:trHeight w:val="300"/>
        </w:trPr>
        <w:tc>
          <w:tcPr>
            <w:tcW w:w="184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DCAC8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54D3E2C7"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5FAFD26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772842D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5E980DA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0A500B9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BD996D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257CA10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709" w:type="dxa"/>
            <w:tcBorders>
              <w:top w:val="single" w:sz="4" w:space="0" w:color="auto"/>
              <w:left w:val="nil"/>
              <w:bottom w:val="single" w:sz="4" w:space="0" w:color="auto"/>
              <w:right w:val="single" w:sz="4" w:space="0" w:color="auto"/>
            </w:tcBorders>
            <w:shd w:val="clear" w:color="000000" w:fill="F2F2F2"/>
            <w:noWrap/>
            <w:vAlign w:val="center"/>
          </w:tcPr>
          <w:p w14:paraId="393A6B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112B8A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708" w:type="dxa"/>
            <w:tcBorders>
              <w:top w:val="single" w:sz="4" w:space="0" w:color="auto"/>
              <w:left w:val="nil"/>
              <w:bottom w:val="single" w:sz="4" w:space="0" w:color="auto"/>
              <w:right w:val="single" w:sz="4" w:space="0" w:color="auto"/>
            </w:tcBorders>
            <w:shd w:val="clear" w:color="000000" w:fill="F2F2F2"/>
            <w:noWrap/>
            <w:vAlign w:val="center"/>
          </w:tcPr>
          <w:p w14:paraId="4E7E89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567" w:type="dxa"/>
            <w:tcBorders>
              <w:top w:val="single" w:sz="4" w:space="0" w:color="auto"/>
              <w:left w:val="nil"/>
              <w:bottom w:val="single" w:sz="4" w:space="0" w:color="auto"/>
              <w:right w:val="single" w:sz="4" w:space="0" w:color="auto"/>
            </w:tcBorders>
            <w:shd w:val="clear" w:color="000000" w:fill="F2F2F2"/>
            <w:noWrap/>
            <w:vAlign w:val="center"/>
          </w:tcPr>
          <w:p w14:paraId="6770016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851" w:type="dxa"/>
            <w:tcBorders>
              <w:top w:val="single" w:sz="4" w:space="0" w:color="auto"/>
              <w:left w:val="nil"/>
              <w:bottom w:val="single" w:sz="4" w:space="0" w:color="auto"/>
              <w:right w:val="single" w:sz="4" w:space="0" w:color="auto"/>
            </w:tcBorders>
            <w:shd w:val="clear" w:color="000000" w:fill="F2F2F2"/>
            <w:noWrap/>
            <w:vAlign w:val="center"/>
          </w:tcPr>
          <w:p w14:paraId="4EF286B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238C7512" w14:textId="77777777" w:rsidTr="003F4A32">
        <w:trPr>
          <w:trHeight w:val="795"/>
        </w:trPr>
        <w:tc>
          <w:tcPr>
            <w:tcW w:w="1843" w:type="dxa"/>
            <w:tcBorders>
              <w:top w:val="nil"/>
              <w:left w:val="single" w:sz="4" w:space="0" w:color="auto"/>
              <w:bottom w:val="single" w:sz="4" w:space="0" w:color="auto"/>
              <w:right w:val="single" w:sz="4" w:space="0" w:color="auto"/>
            </w:tcBorders>
            <w:shd w:val="clear" w:color="auto" w:fill="auto"/>
            <w:vAlign w:val="center"/>
          </w:tcPr>
          <w:p w14:paraId="7289ACB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Сумма закупки / Годовая выручка</w:t>
            </w:r>
          </w:p>
        </w:tc>
        <w:tc>
          <w:tcPr>
            <w:tcW w:w="851" w:type="dxa"/>
            <w:tcBorders>
              <w:top w:val="nil"/>
              <w:left w:val="nil"/>
              <w:bottom w:val="single" w:sz="4" w:space="0" w:color="auto"/>
              <w:right w:val="single" w:sz="4" w:space="0" w:color="auto"/>
            </w:tcBorders>
            <w:shd w:val="clear" w:color="000000" w:fill="FFE5E5"/>
            <w:vAlign w:val="center"/>
          </w:tcPr>
          <w:p w14:paraId="26B4258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более </w:t>
            </w:r>
            <w:r w:rsidRPr="00FC7951">
              <w:rPr>
                <w:rFonts w:ascii="Times New Roman" w:hAnsi="Times New Roman" w:cs="Times New Roman"/>
                <w:color w:val="000000"/>
                <w:lang w:val="en-US"/>
              </w:rPr>
              <w:t>1.4</w:t>
            </w:r>
          </w:p>
        </w:tc>
        <w:tc>
          <w:tcPr>
            <w:tcW w:w="567" w:type="dxa"/>
            <w:tcBorders>
              <w:top w:val="nil"/>
              <w:left w:val="nil"/>
              <w:bottom w:val="single" w:sz="4" w:space="0" w:color="auto"/>
              <w:right w:val="single" w:sz="4" w:space="0" w:color="auto"/>
            </w:tcBorders>
            <w:shd w:val="clear" w:color="000000" w:fill="FFE5E5"/>
            <w:noWrap/>
            <w:vAlign w:val="center"/>
          </w:tcPr>
          <w:p w14:paraId="68106A4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567" w:type="dxa"/>
            <w:tcBorders>
              <w:top w:val="nil"/>
              <w:left w:val="nil"/>
              <w:bottom w:val="single" w:sz="4" w:space="0" w:color="auto"/>
              <w:right w:val="single" w:sz="4" w:space="0" w:color="auto"/>
            </w:tcBorders>
            <w:shd w:val="clear" w:color="000000" w:fill="FFE5E5"/>
            <w:noWrap/>
            <w:vAlign w:val="center"/>
          </w:tcPr>
          <w:p w14:paraId="58CB305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w:t>
            </w:r>
          </w:p>
        </w:tc>
        <w:tc>
          <w:tcPr>
            <w:tcW w:w="708" w:type="dxa"/>
            <w:tcBorders>
              <w:top w:val="nil"/>
              <w:left w:val="nil"/>
              <w:bottom w:val="single" w:sz="4" w:space="0" w:color="auto"/>
              <w:right w:val="single" w:sz="4" w:space="0" w:color="auto"/>
            </w:tcBorders>
            <w:shd w:val="clear" w:color="000000" w:fill="FFE5E5"/>
            <w:noWrap/>
            <w:vAlign w:val="center"/>
          </w:tcPr>
          <w:p w14:paraId="060B4D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0.8</w:t>
            </w:r>
          </w:p>
        </w:tc>
        <w:tc>
          <w:tcPr>
            <w:tcW w:w="709" w:type="dxa"/>
            <w:tcBorders>
              <w:top w:val="nil"/>
              <w:left w:val="nil"/>
              <w:bottom w:val="single" w:sz="4" w:space="0" w:color="auto"/>
              <w:right w:val="single" w:sz="4" w:space="0" w:color="auto"/>
            </w:tcBorders>
            <w:shd w:val="clear" w:color="000000" w:fill="F8FFB9"/>
            <w:noWrap/>
            <w:vAlign w:val="center"/>
          </w:tcPr>
          <w:p w14:paraId="7AAB1E6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709" w:type="dxa"/>
            <w:tcBorders>
              <w:top w:val="nil"/>
              <w:left w:val="nil"/>
              <w:bottom w:val="single" w:sz="4" w:space="0" w:color="auto"/>
              <w:right w:val="single" w:sz="4" w:space="0" w:color="auto"/>
            </w:tcBorders>
            <w:shd w:val="clear" w:color="000000" w:fill="F8FFB9"/>
            <w:noWrap/>
            <w:vAlign w:val="center"/>
          </w:tcPr>
          <w:p w14:paraId="11B9F26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0.46</w:t>
            </w:r>
          </w:p>
        </w:tc>
        <w:tc>
          <w:tcPr>
            <w:tcW w:w="709" w:type="dxa"/>
            <w:tcBorders>
              <w:top w:val="nil"/>
              <w:left w:val="nil"/>
              <w:bottom w:val="single" w:sz="4" w:space="0" w:color="auto"/>
              <w:right w:val="single" w:sz="4" w:space="0" w:color="auto"/>
            </w:tcBorders>
            <w:shd w:val="clear" w:color="000000" w:fill="C6FED1"/>
            <w:noWrap/>
            <w:vAlign w:val="center"/>
          </w:tcPr>
          <w:p w14:paraId="2595B1B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0.33</w:t>
            </w:r>
          </w:p>
        </w:tc>
        <w:tc>
          <w:tcPr>
            <w:tcW w:w="567" w:type="dxa"/>
            <w:tcBorders>
              <w:top w:val="nil"/>
              <w:left w:val="nil"/>
              <w:bottom w:val="single" w:sz="4" w:space="0" w:color="auto"/>
              <w:right w:val="single" w:sz="4" w:space="0" w:color="auto"/>
            </w:tcBorders>
            <w:shd w:val="clear" w:color="000000" w:fill="C6FED1"/>
            <w:noWrap/>
            <w:vAlign w:val="center"/>
          </w:tcPr>
          <w:p w14:paraId="7AD0625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8" w:type="dxa"/>
            <w:tcBorders>
              <w:top w:val="nil"/>
              <w:left w:val="nil"/>
              <w:bottom w:val="single" w:sz="4" w:space="0" w:color="auto"/>
              <w:right w:val="single" w:sz="4" w:space="0" w:color="auto"/>
            </w:tcBorders>
            <w:shd w:val="clear" w:color="000000" w:fill="C6FED1"/>
            <w:noWrap/>
            <w:vAlign w:val="center"/>
          </w:tcPr>
          <w:p w14:paraId="2759BD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0,15</w:t>
            </w:r>
          </w:p>
        </w:tc>
        <w:tc>
          <w:tcPr>
            <w:tcW w:w="567" w:type="dxa"/>
            <w:tcBorders>
              <w:top w:val="nil"/>
              <w:left w:val="nil"/>
              <w:bottom w:val="single" w:sz="4" w:space="0" w:color="auto"/>
              <w:right w:val="single" w:sz="4" w:space="0" w:color="auto"/>
            </w:tcBorders>
            <w:shd w:val="clear" w:color="000000" w:fill="C6FED1"/>
            <w:noWrap/>
            <w:vAlign w:val="center"/>
          </w:tcPr>
          <w:p w14:paraId="38B9A23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851" w:type="dxa"/>
            <w:tcBorders>
              <w:top w:val="nil"/>
              <w:left w:val="nil"/>
              <w:bottom w:val="single" w:sz="4" w:space="0" w:color="auto"/>
              <w:right w:val="single" w:sz="4" w:space="0" w:color="auto"/>
            </w:tcBorders>
            <w:shd w:val="clear" w:color="000000" w:fill="C6FED1"/>
            <w:vAlign w:val="center"/>
          </w:tcPr>
          <w:p w14:paraId="4491AC5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менее </w:t>
            </w:r>
            <w:r w:rsidRPr="00FC7951">
              <w:rPr>
                <w:rFonts w:ascii="Times New Roman" w:hAnsi="Times New Roman" w:cs="Times New Roman"/>
                <w:color w:val="000000"/>
                <w:lang w:val="en-US"/>
              </w:rPr>
              <w:t>0.05</w:t>
            </w:r>
          </w:p>
        </w:tc>
      </w:tr>
      <w:tr w:rsidR="00B06B6F" w:rsidRPr="00FC7951" w14:paraId="3D6C56CD" w14:textId="77777777" w:rsidTr="003F4A32">
        <w:trPr>
          <w:trHeight w:val="795"/>
        </w:trPr>
        <w:tc>
          <w:tcPr>
            <w:tcW w:w="1843" w:type="dxa"/>
            <w:tcBorders>
              <w:top w:val="nil"/>
              <w:left w:val="single" w:sz="4" w:space="0" w:color="auto"/>
              <w:bottom w:val="single" w:sz="4" w:space="0" w:color="auto"/>
              <w:right w:val="single" w:sz="4" w:space="0" w:color="auto"/>
            </w:tcBorders>
            <w:shd w:val="clear" w:color="auto" w:fill="auto"/>
            <w:vAlign w:val="center"/>
          </w:tcPr>
          <w:p w14:paraId="5E73FE9E"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Сумма закупки / Активы</w:t>
            </w:r>
          </w:p>
        </w:tc>
        <w:tc>
          <w:tcPr>
            <w:tcW w:w="851" w:type="dxa"/>
            <w:tcBorders>
              <w:top w:val="nil"/>
              <w:left w:val="nil"/>
              <w:bottom w:val="single" w:sz="4" w:space="0" w:color="auto"/>
              <w:right w:val="single" w:sz="4" w:space="0" w:color="auto"/>
            </w:tcBorders>
            <w:shd w:val="clear" w:color="000000" w:fill="FFE5E5"/>
            <w:vAlign w:val="center"/>
          </w:tcPr>
          <w:p w14:paraId="22FBCD6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более </w:t>
            </w:r>
            <w:r w:rsidRPr="00FC7951">
              <w:rPr>
                <w:rFonts w:ascii="Times New Roman" w:hAnsi="Times New Roman" w:cs="Times New Roman"/>
                <w:color w:val="000000"/>
                <w:lang w:val="en-US"/>
              </w:rPr>
              <w:t>2.8</w:t>
            </w:r>
          </w:p>
        </w:tc>
        <w:tc>
          <w:tcPr>
            <w:tcW w:w="567" w:type="dxa"/>
            <w:tcBorders>
              <w:top w:val="nil"/>
              <w:left w:val="nil"/>
              <w:bottom w:val="single" w:sz="4" w:space="0" w:color="auto"/>
              <w:right w:val="single" w:sz="4" w:space="0" w:color="auto"/>
            </w:tcBorders>
            <w:shd w:val="clear" w:color="000000" w:fill="FFE5E5"/>
            <w:noWrap/>
            <w:vAlign w:val="center"/>
          </w:tcPr>
          <w:p w14:paraId="31032E9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2.4</w:t>
            </w:r>
          </w:p>
        </w:tc>
        <w:tc>
          <w:tcPr>
            <w:tcW w:w="567" w:type="dxa"/>
            <w:tcBorders>
              <w:top w:val="nil"/>
              <w:left w:val="nil"/>
              <w:bottom w:val="single" w:sz="4" w:space="0" w:color="auto"/>
              <w:right w:val="single" w:sz="4" w:space="0" w:color="auto"/>
            </w:tcBorders>
            <w:shd w:val="clear" w:color="000000" w:fill="FFE5E5"/>
            <w:noWrap/>
            <w:vAlign w:val="center"/>
          </w:tcPr>
          <w:p w14:paraId="621E8E8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2</w:t>
            </w:r>
          </w:p>
        </w:tc>
        <w:tc>
          <w:tcPr>
            <w:tcW w:w="708" w:type="dxa"/>
            <w:tcBorders>
              <w:top w:val="nil"/>
              <w:left w:val="nil"/>
              <w:bottom w:val="single" w:sz="4" w:space="0" w:color="auto"/>
              <w:right w:val="single" w:sz="4" w:space="0" w:color="auto"/>
            </w:tcBorders>
            <w:shd w:val="clear" w:color="000000" w:fill="FFE5E5"/>
            <w:noWrap/>
            <w:vAlign w:val="center"/>
          </w:tcPr>
          <w:p w14:paraId="494F863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1.6</w:t>
            </w:r>
          </w:p>
        </w:tc>
        <w:tc>
          <w:tcPr>
            <w:tcW w:w="709" w:type="dxa"/>
            <w:tcBorders>
              <w:top w:val="nil"/>
              <w:left w:val="nil"/>
              <w:bottom w:val="single" w:sz="4" w:space="0" w:color="auto"/>
              <w:right w:val="single" w:sz="4" w:space="0" w:color="auto"/>
            </w:tcBorders>
            <w:shd w:val="clear" w:color="000000" w:fill="F8FFB9"/>
            <w:noWrap/>
            <w:vAlign w:val="center"/>
          </w:tcPr>
          <w:p w14:paraId="0ADC173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709" w:type="dxa"/>
            <w:tcBorders>
              <w:top w:val="nil"/>
              <w:left w:val="nil"/>
              <w:bottom w:val="single" w:sz="4" w:space="0" w:color="auto"/>
              <w:right w:val="single" w:sz="4" w:space="0" w:color="auto"/>
            </w:tcBorders>
            <w:shd w:val="clear" w:color="000000" w:fill="F8FFB9"/>
            <w:noWrap/>
            <w:vAlign w:val="center"/>
          </w:tcPr>
          <w:p w14:paraId="3874484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0.92</w:t>
            </w:r>
          </w:p>
        </w:tc>
        <w:tc>
          <w:tcPr>
            <w:tcW w:w="709" w:type="dxa"/>
            <w:tcBorders>
              <w:top w:val="nil"/>
              <w:left w:val="nil"/>
              <w:bottom w:val="single" w:sz="4" w:space="0" w:color="auto"/>
              <w:right w:val="single" w:sz="4" w:space="0" w:color="auto"/>
            </w:tcBorders>
            <w:shd w:val="clear" w:color="000000" w:fill="C6FED1"/>
            <w:noWrap/>
            <w:vAlign w:val="center"/>
          </w:tcPr>
          <w:p w14:paraId="6006238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0.66</w:t>
            </w:r>
          </w:p>
        </w:tc>
        <w:tc>
          <w:tcPr>
            <w:tcW w:w="567" w:type="dxa"/>
            <w:tcBorders>
              <w:top w:val="nil"/>
              <w:left w:val="nil"/>
              <w:bottom w:val="single" w:sz="4" w:space="0" w:color="auto"/>
              <w:right w:val="single" w:sz="4" w:space="0" w:color="auto"/>
            </w:tcBorders>
            <w:shd w:val="clear" w:color="000000" w:fill="C6FED1"/>
            <w:noWrap/>
            <w:vAlign w:val="center"/>
          </w:tcPr>
          <w:p w14:paraId="668D304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tcBorders>
              <w:top w:val="nil"/>
              <w:left w:val="nil"/>
              <w:bottom w:val="single" w:sz="4" w:space="0" w:color="auto"/>
              <w:right w:val="single" w:sz="4" w:space="0" w:color="auto"/>
            </w:tcBorders>
            <w:shd w:val="clear" w:color="000000" w:fill="C6FED1"/>
            <w:noWrap/>
            <w:vAlign w:val="center"/>
          </w:tcPr>
          <w:p w14:paraId="51811B6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567" w:type="dxa"/>
            <w:tcBorders>
              <w:top w:val="nil"/>
              <w:left w:val="nil"/>
              <w:bottom w:val="single" w:sz="4" w:space="0" w:color="auto"/>
              <w:right w:val="single" w:sz="4" w:space="0" w:color="auto"/>
            </w:tcBorders>
            <w:shd w:val="clear" w:color="000000" w:fill="C6FED1"/>
            <w:noWrap/>
            <w:vAlign w:val="center"/>
          </w:tcPr>
          <w:p w14:paraId="61045C6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851" w:type="dxa"/>
            <w:tcBorders>
              <w:top w:val="nil"/>
              <w:left w:val="nil"/>
              <w:bottom w:val="single" w:sz="4" w:space="0" w:color="auto"/>
              <w:right w:val="single" w:sz="4" w:space="0" w:color="auto"/>
            </w:tcBorders>
            <w:shd w:val="clear" w:color="000000" w:fill="C6FED1"/>
            <w:vAlign w:val="center"/>
          </w:tcPr>
          <w:p w14:paraId="7F5A11D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 xml:space="preserve">менее </w:t>
            </w:r>
            <w:r w:rsidRPr="00FC7951">
              <w:rPr>
                <w:rFonts w:ascii="Times New Roman" w:hAnsi="Times New Roman" w:cs="Times New Roman"/>
                <w:color w:val="000000"/>
                <w:lang w:val="en-US"/>
              </w:rPr>
              <w:t>0.1</w:t>
            </w:r>
          </w:p>
        </w:tc>
      </w:tr>
    </w:tbl>
    <w:p w14:paraId="004AD8B5" w14:textId="77777777" w:rsidR="00B06B6F" w:rsidRPr="00791B2D" w:rsidRDefault="00B06B6F" w:rsidP="00725F19">
      <w:pPr>
        <w:tabs>
          <w:tab w:val="left" w:pos="1134"/>
        </w:tabs>
        <w:spacing w:before="120"/>
        <w:ind w:firstLine="709"/>
        <w:jc w:val="both"/>
        <w:rPr>
          <w:rFonts w:ascii="Times New Roman" w:hAnsi="Times New Roman" w:cs="Times New Roman"/>
          <w:sz w:val="24"/>
          <w:szCs w:val="24"/>
        </w:rPr>
      </w:pPr>
      <w:r w:rsidRPr="00791B2D">
        <w:rPr>
          <w:rFonts w:ascii="Times New Roman" w:hAnsi="Times New Roman" w:cs="Times New Roman"/>
          <w:sz w:val="24"/>
          <w:szCs w:val="24"/>
        </w:rPr>
        <w:t>При этом, в целях обеспечения сопоставимости при расчете показателей и корректной оценки, рекомендуется осуществлять пересчет суммы закупки в годовое выражение в случаях, когда согласно предоставленной участником документации срок реализации договора составляет более 1 (одного) календарного года.</w:t>
      </w:r>
    </w:p>
    <w:p w14:paraId="52685040" w14:textId="77777777" w:rsidR="00B06B6F" w:rsidRPr="00791B2D" w:rsidRDefault="00B06B6F" w:rsidP="00725F19">
      <w:pPr>
        <w:tabs>
          <w:tab w:val="left" w:pos="1134"/>
        </w:tabs>
        <w:spacing w:before="120" w:after="120"/>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В случаях, когда срок реализации договора составляет более 1,5 (полутора) календарных лет, осуществление пересчета суммы закупки в годовое выражение является обязательным.</w:t>
      </w:r>
    </w:p>
    <w:p w14:paraId="06DB7F72"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Пересчет осуществляется по формуле, представленной ниже:</w:t>
      </w:r>
    </w:p>
    <w:p w14:paraId="2DB4F243"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ParaPr>
          <m:jc m:val="left"/>
        </m:oMathParaPr>
        <m:oMath>
          <m:r>
            <w:rPr>
              <w:rFonts w:ascii="Cambria Math" w:hAnsi="Cambria Math" w:cs="Times New Roman"/>
            </w:rPr>
            <m:t>Сумма закупки в пересчете на год=</m:t>
          </m:r>
          <m:f>
            <m:fPr>
              <m:ctrlPr>
                <w:rPr>
                  <w:rFonts w:ascii="Cambria Math" w:hAnsi="Cambria Math" w:cs="Times New Roman"/>
                  <w:i/>
                </w:rPr>
              </m:ctrlPr>
            </m:fPr>
            <m:num>
              <m:r>
                <w:rPr>
                  <w:rFonts w:ascii="Cambria Math" w:hAnsi="Cambria Math" w:cs="Times New Roman"/>
                </w:rPr>
                <m:t>Сумма закупки *</m:t>
              </m:r>
              <m:r>
                <w:rPr>
                  <w:rFonts w:ascii="Cambria Math" w:hAnsi="Cambria Math" w:cs="Times New Roman"/>
                  <w:lang w:val="en-TT"/>
                </w:rPr>
                <m:t>12</m:t>
              </m:r>
              <m:r>
                <w:rPr>
                  <w:rFonts w:ascii="Cambria Math" w:hAnsi="Cambria Math" w:cs="Times New Roman"/>
                </w:rPr>
                <m:t xml:space="preserve"> </m:t>
              </m:r>
            </m:num>
            <m:den>
              <m:r>
                <w:rPr>
                  <w:rFonts w:ascii="Cambria Math" w:hAnsi="Cambria Math" w:cs="Times New Roman"/>
                </w:rPr>
                <m:t>N</m:t>
              </m:r>
            </m:den>
          </m:f>
        </m:oMath>
      </m:oMathPara>
    </w:p>
    <w:p w14:paraId="11BEB083" w14:textId="77777777" w:rsidR="00B06B6F" w:rsidRPr="00791B2D" w:rsidRDefault="00B06B6F" w:rsidP="00791B2D">
      <w:pPr>
        <w:pStyle w:val="ac"/>
        <w:tabs>
          <w:tab w:val="left" w:pos="1134"/>
        </w:tabs>
        <w:spacing w:before="120" w:after="120"/>
        <w:ind w:left="0" w:firstLine="709"/>
        <w:jc w:val="both"/>
        <w:rPr>
          <w:bCs/>
        </w:rPr>
      </w:pPr>
      <w:r w:rsidRPr="00FC7951">
        <w:rPr>
          <w:bCs/>
        </w:rPr>
        <w:t xml:space="preserve">где </w:t>
      </w:r>
      <w:r w:rsidRPr="00FC7951">
        <w:rPr>
          <w:bCs/>
          <w:lang w:val="en-TT"/>
        </w:rPr>
        <w:t>N</w:t>
      </w:r>
      <w:r w:rsidRPr="00FC7951">
        <w:rPr>
          <w:bCs/>
        </w:rPr>
        <w:t xml:space="preserve"> – количество полных месяцев (с округлением в меньшую сторону), в течение которых реализуется договор</w:t>
      </w:r>
    </w:p>
    <w:p w14:paraId="5B863F98" w14:textId="77777777" w:rsidR="00B06B6F" w:rsidRPr="00FC7951" w:rsidRDefault="00B06B6F" w:rsidP="00725F19">
      <w:pPr>
        <w:pStyle w:val="ac"/>
        <w:tabs>
          <w:tab w:val="left" w:pos="1134"/>
        </w:tabs>
        <w:spacing w:before="120" w:after="120"/>
        <w:ind w:left="0" w:firstLine="709"/>
        <w:rPr>
          <w:b/>
        </w:rPr>
      </w:pPr>
    </w:p>
    <w:p w14:paraId="4842984A" w14:textId="77777777" w:rsidR="00B06B6F" w:rsidRPr="00FC7951" w:rsidRDefault="00B06B6F" w:rsidP="00725F19">
      <w:pPr>
        <w:pStyle w:val="ac"/>
        <w:numPr>
          <w:ilvl w:val="1"/>
          <w:numId w:val="1"/>
        </w:numPr>
        <w:tabs>
          <w:tab w:val="left" w:pos="1134"/>
        </w:tabs>
        <w:spacing w:before="120" w:after="120"/>
        <w:ind w:left="0" w:firstLine="709"/>
        <w:rPr>
          <w:b/>
        </w:rPr>
      </w:pPr>
      <w:r w:rsidRPr="00FC7951">
        <w:rPr>
          <w:b/>
        </w:rPr>
        <w:t>Оценка соответствия участника минимальным качественным требованиям в рамках финансово-экономической экспертизы</w:t>
      </w:r>
    </w:p>
    <w:p w14:paraId="3DD92234"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Помимо обязательной справки о перечне и объемах выполнения аналогичных договоров, предоставляемой участ</w:t>
      </w:r>
      <w:r w:rsidR="00391929" w:rsidRPr="00791B2D">
        <w:rPr>
          <w:rFonts w:ascii="Times New Roman" w:hAnsi="Times New Roman" w:cs="Times New Roman"/>
          <w:sz w:val="24"/>
          <w:szCs w:val="24"/>
        </w:rPr>
        <w:t>никами (не применимо к закупкам</w:t>
      </w:r>
      <w:r w:rsidRPr="00791B2D">
        <w:rPr>
          <w:rFonts w:ascii="Times New Roman" w:hAnsi="Times New Roman" w:cs="Times New Roman"/>
          <w:sz w:val="24"/>
          <w:szCs w:val="24"/>
        </w:rPr>
        <w:t>), составить представление о наличии / отсутствии релевантного опыта можно на основании косвенных признаков. Такую задачу в рамках финансово-экономической экспертизы решает оценка участников закупочной процедуры на предмет соответствия минимальным качественным требованиям. Когда участник имеет продолжительную историю существования, достаточную численность персонала и при этом его основной вид деятельности соответствует предмету закупки, в таком случае делается вывод о его потенциальной способности осуществить необходимую поставку или оказать услугу.</w:t>
      </w:r>
    </w:p>
    <w:p w14:paraId="4E01FE21"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Будучи формализована в численном выражении, оценка по критерию «срок существования участника» участвует в формировании итоговой оценки по направлению финансово-экономической экспертизы. Являясь предметом других видов экспертизы, в частности юридической и технической экспертизы, оценки по критериям «соответствие основного вида деятельности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w:t>
      </w:r>
    </w:p>
    <w:p w14:paraId="3D7F1EA4"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 показателей в баллы по шкале от 0 до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3"/>
        <w:gridCol w:w="567"/>
        <w:gridCol w:w="567"/>
        <w:gridCol w:w="567"/>
        <w:gridCol w:w="567"/>
        <w:gridCol w:w="708"/>
        <w:gridCol w:w="567"/>
        <w:gridCol w:w="567"/>
        <w:gridCol w:w="567"/>
        <w:gridCol w:w="709"/>
        <w:gridCol w:w="1276"/>
      </w:tblGrid>
      <w:tr w:rsidR="00B06B6F" w:rsidRPr="00FC7951" w14:paraId="57A477B5" w14:textId="77777777" w:rsidTr="00791B2D">
        <w:trPr>
          <w:trHeight w:val="300"/>
        </w:trPr>
        <w:tc>
          <w:tcPr>
            <w:tcW w:w="1701" w:type="dxa"/>
            <w:shd w:val="clear" w:color="000000" w:fill="F2F2F2"/>
            <w:noWrap/>
            <w:vAlign w:val="bottom"/>
          </w:tcPr>
          <w:p w14:paraId="50C74D9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w:t>
            </w:r>
          </w:p>
          <w:p w14:paraId="08F7CBA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(мин 0 - макс 1)</w:t>
            </w:r>
          </w:p>
        </w:tc>
        <w:tc>
          <w:tcPr>
            <w:tcW w:w="993" w:type="dxa"/>
            <w:shd w:val="clear" w:color="000000" w:fill="F2F2F2"/>
            <w:noWrap/>
            <w:vAlign w:val="center"/>
          </w:tcPr>
          <w:p w14:paraId="254BC76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w:t>
            </w:r>
          </w:p>
        </w:tc>
        <w:tc>
          <w:tcPr>
            <w:tcW w:w="567" w:type="dxa"/>
            <w:shd w:val="clear" w:color="000000" w:fill="F2F2F2"/>
            <w:noWrap/>
            <w:vAlign w:val="center"/>
          </w:tcPr>
          <w:p w14:paraId="672E04D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567" w:type="dxa"/>
            <w:shd w:val="clear" w:color="000000" w:fill="F2F2F2"/>
            <w:noWrap/>
            <w:vAlign w:val="center"/>
          </w:tcPr>
          <w:p w14:paraId="6B7DD7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567" w:type="dxa"/>
            <w:shd w:val="clear" w:color="000000" w:fill="F2F2F2"/>
            <w:noWrap/>
            <w:vAlign w:val="center"/>
          </w:tcPr>
          <w:p w14:paraId="55B8605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w:t>
            </w:r>
          </w:p>
        </w:tc>
        <w:tc>
          <w:tcPr>
            <w:tcW w:w="567" w:type="dxa"/>
            <w:shd w:val="clear" w:color="000000" w:fill="F2F2F2"/>
            <w:noWrap/>
            <w:vAlign w:val="center"/>
          </w:tcPr>
          <w:p w14:paraId="1D5591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708" w:type="dxa"/>
            <w:shd w:val="clear" w:color="000000" w:fill="F2F2F2"/>
            <w:noWrap/>
            <w:vAlign w:val="center"/>
          </w:tcPr>
          <w:p w14:paraId="76C15A2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w:t>
            </w:r>
          </w:p>
        </w:tc>
        <w:tc>
          <w:tcPr>
            <w:tcW w:w="567" w:type="dxa"/>
            <w:shd w:val="clear" w:color="000000" w:fill="F2F2F2"/>
            <w:noWrap/>
            <w:vAlign w:val="center"/>
          </w:tcPr>
          <w:p w14:paraId="72AD7E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w:t>
            </w:r>
          </w:p>
        </w:tc>
        <w:tc>
          <w:tcPr>
            <w:tcW w:w="567" w:type="dxa"/>
            <w:shd w:val="clear" w:color="000000" w:fill="F2F2F2"/>
            <w:noWrap/>
            <w:vAlign w:val="center"/>
          </w:tcPr>
          <w:p w14:paraId="04DA4AE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567" w:type="dxa"/>
            <w:shd w:val="clear" w:color="000000" w:fill="F2F2F2"/>
            <w:noWrap/>
            <w:vAlign w:val="center"/>
          </w:tcPr>
          <w:p w14:paraId="4578D43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w:t>
            </w:r>
          </w:p>
        </w:tc>
        <w:tc>
          <w:tcPr>
            <w:tcW w:w="709" w:type="dxa"/>
            <w:shd w:val="clear" w:color="000000" w:fill="F2F2F2"/>
            <w:noWrap/>
            <w:vAlign w:val="center"/>
          </w:tcPr>
          <w:p w14:paraId="477125D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w:t>
            </w:r>
          </w:p>
        </w:tc>
        <w:tc>
          <w:tcPr>
            <w:tcW w:w="1276" w:type="dxa"/>
            <w:shd w:val="clear" w:color="000000" w:fill="F2F2F2"/>
            <w:noWrap/>
            <w:vAlign w:val="center"/>
          </w:tcPr>
          <w:p w14:paraId="5AC5218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w:t>
            </w:r>
          </w:p>
        </w:tc>
      </w:tr>
      <w:tr w:rsidR="00B06B6F" w:rsidRPr="00FC7951" w14:paraId="773DFBD4" w14:textId="77777777" w:rsidTr="00791B2D">
        <w:trPr>
          <w:trHeight w:val="600"/>
        </w:trPr>
        <w:tc>
          <w:tcPr>
            <w:tcW w:w="1701" w:type="dxa"/>
            <w:shd w:val="clear" w:color="auto" w:fill="auto"/>
          </w:tcPr>
          <w:p w14:paraId="5B914D0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срок существования участника, лет</w:t>
            </w:r>
          </w:p>
        </w:tc>
        <w:tc>
          <w:tcPr>
            <w:tcW w:w="993" w:type="dxa"/>
            <w:shd w:val="clear" w:color="000000" w:fill="FFE5E5"/>
            <w:vAlign w:val="center"/>
          </w:tcPr>
          <w:p w14:paraId="704492B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менее 1 года</w:t>
            </w:r>
          </w:p>
        </w:tc>
        <w:tc>
          <w:tcPr>
            <w:tcW w:w="567" w:type="dxa"/>
            <w:shd w:val="clear" w:color="000000" w:fill="FFE5E5"/>
            <w:noWrap/>
            <w:vAlign w:val="center"/>
          </w:tcPr>
          <w:p w14:paraId="11BDE8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w:t>
            </w:r>
          </w:p>
        </w:tc>
        <w:tc>
          <w:tcPr>
            <w:tcW w:w="567" w:type="dxa"/>
            <w:shd w:val="clear" w:color="000000" w:fill="FFE5E5"/>
            <w:noWrap/>
            <w:vAlign w:val="center"/>
          </w:tcPr>
          <w:p w14:paraId="3D9024B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1,8</w:t>
            </w:r>
          </w:p>
        </w:tc>
        <w:tc>
          <w:tcPr>
            <w:tcW w:w="567" w:type="dxa"/>
            <w:shd w:val="clear" w:color="000000" w:fill="FFE5E5"/>
            <w:noWrap/>
            <w:vAlign w:val="center"/>
          </w:tcPr>
          <w:p w14:paraId="5DDE88F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2,2</w:t>
            </w:r>
          </w:p>
        </w:tc>
        <w:tc>
          <w:tcPr>
            <w:tcW w:w="567" w:type="dxa"/>
            <w:shd w:val="clear" w:color="000000" w:fill="F8FFB9"/>
            <w:noWrap/>
            <w:vAlign w:val="center"/>
          </w:tcPr>
          <w:p w14:paraId="3D38E31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2,6</w:t>
            </w:r>
          </w:p>
        </w:tc>
        <w:tc>
          <w:tcPr>
            <w:tcW w:w="708" w:type="dxa"/>
            <w:shd w:val="clear" w:color="000000" w:fill="F8FFB9"/>
            <w:noWrap/>
            <w:vAlign w:val="center"/>
          </w:tcPr>
          <w:p w14:paraId="4A6DADA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w:t>
            </w:r>
          </w:p>
        </w:tc>
        <w:tc>
          <w:tcPr>
            <w:tcW w:w="567" w:type="dxa"/>
            <w:shd w:val="clear" w:color="000000" w:fill="C6FED1"/>
            <w:noWrap/>
            <w:vAlign w:val="center"/>
          </w:tcPr>
          <w:p w14:paraId="6CAB722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4,4</w:t>
            </w:r>
          </w:p>
        </w:tc>
        <w:tc>
          <w:tcPr>
            <w:tcW w:w="567" w:type="dxa"/>
            <w:shd w:val="clear" w:color="000000" w:fill="C6FED1"/>
            <w:noWrap/>
            <w:vAlign w:val="center"/>
          </w:tcPr>
          <w:p w14:paraId="0847FD0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5,8</w:t>
            </w:r>
          </w:p>
        </w:tc>
        <w:tc>
          <w:tcPr>
            <w:tcW w:w="567" w:type="dxa"/>
            <w:shd w:val="clear" w:color="000000" w:fill="C6FED1"/>
            <w:noWrap/>
            <w:vAlign w:val="center"/>
          </w:tcPr>
          <w:p w14:paraId="4CC266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7,2</w:t>
            </w:r>
          </w:p>
        </w:tc>
        <w:tc>
          <w:tcPr>
            <w:tcW w:w="709" w:type="dxa"/>
            <w:shd w:val="clear" w:color="000000" w:fill="C6FED1"/>
            <w:noWrap/>
            <w:vAlign w:val="center"/>
          </w:tcPr>
          <w:p w14:paraId="58D6E9D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8,6</w:t>
            </w:r>
          </w:p>
        </w:tc>
        <w:tc>
          <w:tcPr>
            <w:tcW w:w="1276" w:type="dxa"/>
            <w:shd w:val="clear" w:color="000000" w:fill="C6FED1"/>
            <w:vAlign w:val="center"/>
          </w:tcPr>
          <w:p w14:paraId="47D5FC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более 10 лет</w:t>
            </w:r>
          </w:p>
        </w:tc>
      </w:tr>
    </w:tbl>
    <w:p w14:paraId="1FF2E1A3" w14:textId="77777777" w:rsidR="00B06B6F" w:rsidRPr="00FC7951" w:rsidRDefault="00B06B6F" w:rsidP="00725F19">
      <w:pPr>
        <w:pStyle w:val="ac"/>
        <w:spacing w:before="120" w:after="120"/>
        <w:ind w:left="0"/>
        <w:rPr>
          <w:b/>
        </w:rPr>
      </w:pPr>
    </w:p>
    <w:p w14:paraId="43C6FA2A" w14:textId="77777777" w:rsidR="00B06B6F" w:rsidRPr="00791B2D" w:rsidRDefault="00B06B6F" w:rsidP="00725F19">
      <w:pPr>
        <w:pStyle w:val="ac"/>
        <w:numPr>
          <w:ilvl w:val="1"/>
          <w:numId w:val="1"/>
        </w:numPr>
        <w:tabs>
          <w:tab w:val="left" w:pos="1134"/>
        </w:tabs>
        <w:spacing w:before="120" w:after="120"/>
        <w:ind w:left="0" w:firstLine="709"/>
        <w:rPr>
          <w:b/>
        </w:rPr>
      </w:pPr>
      <w:r w:rsidRPr="00791B2D">
        <w:rPr>
          <w:b/>
        </w:rPr>
        <w:t>Финансовые условия сделки</w:t>
      </w:r>
    </w:p>
    <w:p w14:paraId="4377EFD4"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В рамках реализации одной из основных целей финансово-экономической экспертизы по оценке и ограничению кредитного риска финансовые условия сделки, предлагаемые участниками закупочных процедур, являются наиболее весомыми. При отсутствии предоплаты кредитные риски минимальны. При прочих равных условиях выплата аванса без покрытия независимой гарантией соответствует наибольшему риску.</w:t>
      </w:r>
    </w:p>
    <w:p w14:paraId="6B38784C"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lastRenderedPageBreak/>
        <w:t>Оценка по критерию «финансовые условия сделки» осуществляется с учетом соотношения величины планируемого аванса с активами и годовой выручкой оцениваемого участника. Чем меньше величина аванса в масштабах деятельности оцениваемого участника, тем меньшее влияние факт наличия предоплаты оказывает на итоговую оценку кредитного риска; оценка в таком случае приближается к единице - максимально возможной оценке по данному частному критерию.</w:t>
      </w:r>
    </w:p>
    <w:p w14:paraId="706BE51B"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sz w:val="24"/>
          <w:szCs w:val="24"/>
        </w:rPr>
        <w:t>В тех случаях, когда отдельными внутренними нормативными документами Общества устанавливаются ограничения на принимаемые независимые гарантии в части указания перечня гарантов, суммы и сроков гарантий, Эксперт по направлению финансово-экономической экспертизы проводит оценку соответствия предлагаемой независимой гарантии требованиям указанного внутреннего нормативного документа. А в случае отсутствия на этапе закупочной процедуры информации по независимой гарантии, дает рекомендации по соблюдению требований соответствующего ВНД в составе экспертного заключения.</w:t>
      </w:r>
    </w:p>
    <w:p w14:paraId="7641336B" w14:textId="77777777" w:rsidR="00B06B6F" w:rsidRPr="00FC7951" w:rsidRDefault="00B06B6F" w:rsidP="00725F19">
      <w:pPr>
        <w:spacing w:before="120"/>
        <w:jc w:val="right"/>
        <w:rPr>
          <w:rFonts w:ascii="Times New Roman" w:hAnsi="Times New Roman" w:cs="Times New Roman"/>
        </w:rPr>
      </w:pPr>
      <w:r w:rsidRPr="00FC7951">
        <w:rPr>
          <w:rFonts w:ascii="Times New Roman" w:hAnsi="Times New Roman" w:cs="Times New Roman"/>
        </w:rPr>
        <w:t>Таблица Оценка финансовых условий сделки</w:t>
      </w:r>
    </w:p>
    <w:tbl>
      <w:tblPr>
        <w:tblW w:w="9356" w:type="dxa"/>
        <w:tblInd w:w="-10" w:type="dxa"/>
        <w:tblLook w:val="04A0" w:firstRow="1" w:lastRow="0" w:firstColumn="1" w:lastColumn="0" w:noHBand="0" w:noVBand="1"/>
      </w:tblPr>
      <w:tblGrid>
        <w:gridCol w:w="1714"/>
        <w:gridCol w:w="851"/>
        <w:gridCol w:w="636"/>
        <w:gridCol w:w="636"/>
        <w:gridCol w:w="636"/>
        <w:gridCol w:w="636"/>
        <w:gridCol w:w="636"/>
        <w:gridCol w:w="688"/>
        <w:gridCol w:w="636"/>
        <w:gridCol w:w="705"/>
        <w:gridCol w:w="816"/>
        <w:gridCol w:w="766"/>
      </w:tblGrid>
      <w:tr w:rsidR="00B06B6F" w:rsidRPr="00FC7951" w14:paraId="52B7F477" w14:textId="77777777" w:rsidTr="00791B2D">
        <w:trPr>
          <w:trHeight w:val="615"/>
        </w:trPr>
        <w:tc>
          <w:tcPr>
            <w:tcW w:w="202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E5E7E6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Оценка при отсутствии аванса</w:t>
            </w:r>
          </w:p>
        </w:tc>
        <w:tc>
          <w:tcPr>
            <w:tcW w:w="7336" w:type="dxa"/>
            <w:gridSpan w:val="11"/>
            <w:tcBorders>
              <w:top w:val="single" w:sz="8" w:space="0" w:color="auto"/>
              <w:left w:val="nil"/>
              <w:bottom w:val="single" w:sz="8" w:space="0" w:color="auto"/>
              <w:right w:val="single" w:sz="8" w:space="0" w:color="auto"/>
            </w:tcBorders>
            <w:shd w:val="clear" w:color="000000" w:fill="C6FED1"/>
            <w:noWrap/>
            <w:vAlign w:val="center"/>
            <w:hideMark/>
          </w:tcPr>
          <w:p w14:paraId="4A23992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r>
      <w:tr w:rsidR="00B06B6F" w:rsidRPr="00FC7951" w14:paraId="4FA15C4A" w14:textId="77777777" w:rsidTr="00791B2D">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762A5E02"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Оценка при полном покрытии аванса </w:t>
            </w:r>
            <w:r w:rsidRPr="00FC7951">
              <w:rPr>
                <w:rFonts w:ascii="Times New Roman" w:hAnsi="Times New Roman" w:cs="Times New Roman"/>
              </w:rPr>
              <w:t>независимой</w:t>
            </w:r>
            <w:r w:rsidRPr="00FC7951">
              <w:rPr>
                <w:rFonts w:ascii="Times New Roman" w:hAnsi="Times New Roman" w:cs="Times New Roman"/>
                <w:color w:val="000000"/>
              </w:rPr>
              <w:t xml:space="preserve"> гарантией</w:t>
            </w:r>
          </w:p>
        </w:tc>
        <w:tc>
          <w:tcPr>
            <w:tcW w:w="851" w:type="dxa"/>
            <w:tcBorders>
              <w:top w:val="nil"/>
              <w:left w:val="nil"/>
              <w:bottom w:val="single" w:sz="8" w:space="0" w:color="auto"/>
              <w:right w:val="single" w:sz="8" w:space="0" w:color="auto"/>
            </w:tcBorders>
            <w:shd w:val="clear" w:color="000000" w:fill="F8FFB9"/>
            <w:noWrap/>
            <w:vAlign w:val="center"/>
            <w:hideMark/>
          </w:tcPr>
          <w:p w14:paraId="5265585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w:t>
            </w:r>
          </w:p>
        </w:tc>
        <w:tc>
          <w:tcPr>
            <w:tcW w:w="636" w:type="dxa"/>
            <w:tcBorders>
              <w:top w:val="nil"/>
              <w:left w:val="nil"/>
              <w:bottom w:val="single" w:sz="8" w:space="0" w:color="auto"/>
              <w:right w:val="single" w:sz="8" w:space="0" w:color="auto"/>
            </w:tcBorders>
            <w:shd w:val="clear" w:color="000000" w:fill="F8FFB9"/>
            <w:noWrap/>
            <w:vAlign w:val="center"/>
            <w:hideMark/>
          </w:tcPr>
          <w:p w14:paraId="14FA740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0,46</w:t>
            </w:r>
          </w:p>
        </w:tc>
        <w:tc>
          <w:tcPr>
            <w:tcW w:w="636" w:type="dxa"/>
            <w:tcBorders>
              <w:top w:val="nil"/>
              <w:left w:val="nil"/>
              <w:bottom w:val="single" w:sz="8" w:space="0" w:color="auto"/>
              <w:right w:val="single" w:sz="8" w:space="0" w:color="auto"/>
            </w:tcBorders>
            <w:shd w:val="clear" w:color="000000" w:fill="F8FFB9"/>
            <w:noWrap/>
            <w:vAlign w:val="center"/>
            <w:hideMark/>
          </w:tcPr>
          <w:p w14:paraId="6742A88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0,52</w:t>
            </w:r>
          </w:p>
        </w:tc>
        <w:tc>
          <w:tcPr>
            <w:tcW w:w="636" w:type="dxa"/>
            <w:tcBorders>
              <w:top w:val="nil"/>
              <w:left w:val="nil"/>
              <w:bottom w:val="single" w:sz="8" w:space="0" w:color="auto"/>
              <w:right w:val="single" w:sz="8" w:space="0" w:color="auto"/>
            </w:tcBorders>
            <w:shd w:val="clear" w:color="000000" w:fill="F8FFB9"/>
            <w:noWrap/>
            <w:vAlign w:val="center"/>
            <w:hideMark/>
          </w:tcPr>
          <w:p w14:paraId="034932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0,58</w:t>
            </w:r>
          </w:p>
        </w:tc>
        <w:tc>
          <w:tcPr>
            <w:tcW w:w="636" w:type="dxa"/>
            <w:tcBorders>
              <w:top w:val="nil"/>
              <w:left w:val="nil"/>
              <w:bottom w:val="single" w:sz="8" w:space="0" w:color="auto"/>
              <w:right w:val="single" w:sz="8" w:space="0" w:color="auto"/>
            </w:tcBorders>
            <w:shd w:val="clear" w:color="000000" w:fill="C6FED1"/>
            <w:noWrap/>
            <w:vAlign w:val="center"/>
            <w:hideMark/>
          </w:tcPr>
          <w:p w14:paraId="2A1A3D0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0,64</w:t>
            </w:r>
          </w:p>
        </w:tc>
        <w:tc>
          <w:tcPr>
            <w:tcW w:w="636" w:type="dxa"/>
            <w:tcBorders>
              <w:top w:val="nil"/>
              <w:left w:val="nil"/>
              <w:bottom w:val="single" w:sz="8" w:space="0" w:color="auto"/>
              <w:right w:val="single" w:sz="8" w:space="0" w:color="auto"/>
            </w:tcBorders>
            <w:shd w:val="clear" w:color="000000" w:fill="C6FED1"/>
            <w:noWrap/>
            <w:vAlign w:val="center"/>
            <w:hideMark/>
          </w:tcPr>
          <w:p w14:paraId="4BA35B8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c>
          <w:tcPr>
            <w:tcW w:w="688" w:type="dxa"/>
            <w:tcBorders>
              <w:top w:val="nil"/>
              <w:left w:val="nil"/>
              <w:bottom w:val="single" w:sz="8" w:space="0" w:color="auto"/>
              <w:right w:val="single" w:sz="8" w:space="0" w:color="auto"/>
            </w:tcBorders>
            <w:shd w:val="clear" w:color="000000" w:fill="C6FED1"/>
            <w:noWrap/>
            <w:vAlign w:val="center"/>
            <w:hideMark/>
          </w:tcPr>
          <w:p w14:paraId="54FC41A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0,76</w:t>
            </w:r>
          </w:p>
        </w:tc>
        <w:tc>
          <w:tcPr>
            <w:tcW w:w="636" w:type="dxa"/>
            <w:tcBorders>
              <w:top w:val="nil"/>
              <w:left w:val="nil"/>
              <w:bottom w:val="single" w:sz="8" w:space="0" w:color="auto"/>
              <w:right w:val="single" w:sz="8" w:space="0" w:color="auto"/>
            </w:tcBorders>
            <w:shd w:val="clear" w:color="000000" w:fill="C6FED1"/>
            <w:noWrap/>
            <w:vAlign w:val="center"/>
            <w:hideMark/>
          </w:tcPr>
          <w:p w14:paraId="6C6FB98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0,82</w:t>
            </w:r>
          </w:p>
        </w:tc>
        <w:tc>
          <w:tcPr>
            <w:tcW w:w="705" w:type="dxa"/>
            <w:tcBorders>
              <w:top w:val="nil"/>
              <w:left w:val="nil"/>
              <w:bottom w:val="single" w:sz="8" w:space="0" w:color="auto"/>
              <w:right w:val="single" w:sz="8" w:space="0" w:color="auto"/>
            </w:tcBorders>
            <w:shd w:val="clear" w:color="000000" w:fill="C6FED1"/>
            <w:noWrap/>
            <w:vAlign w:val="center"/>
            <w:hideMark/>
          </w:tcPr>
          <w:p w14:paraId="152D2E5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0,88</w:t>
            </w:r>
          </w:p>
        </w:tc>
        <w:tc>
          <w:tcPr>
            <w:tcW w:w="816" w:type="dxa"/>
            <w:tcBorders>
              <w:top w:val="nil"/>
              <w:left w:val="nil"/>
              <w:bottom w:val="single" w:sz="8" w:space="0" w:color="auto"/>
              <w:right w:val="single" w:sz="8" w:space="0" w:color="auto"/>
            </w:tcBorders>
            <w:shd w:val="clear" w:color="000000" w:fill="C6FED1"/>
            <w:noWrap/>
            <w:vAlign w:val="center"/>
            <w:hideMark/>
          </w:tcPr>
          <w:p w14:paraId="0156647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0,94</w:t>
            </w:r>
          </w:p>
        </w:tc>
        <w:tc>
          <w:tcPr>
            <w:tcW w:w="460" w:type="dxa"/>
            <w:tcBorders>
              <w:top w:val="nil"/>
              <w:left w:val="nil"/>
              <w:bottom w:val="single" w:sz="8" w:space="0" w:color="auto"/>
              <w:right w:val="single" w:sz="8" w:space="0" w:color="auto"/>
            </w:tcBorders>
            <w:shd w:val="clear" w:color="000000" w:fill="C6FED1"/>
            <w:noWrap/>
            <w:vAlign w:val="center"/>
            <w:hideMark/>
          </w:tcPr>
          <w:p w14:paraId="6A58116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w:t>
            </w:r>
          </w:p>
        </w:tc>
      </w:tr>
      <w:tr w:rsidR="00B06B6F" w:rsidRPr="00FC7951" w14:paraId="6D26A5E4" w14:textId="77777777" w:rsidTr="00791B2D">
        <w:trPr>
          <w:trHeight w:val="915"/>
        </w:trPr>
        <w:tc>
          <w:tcPr>
            <w:tcW w:w="2020" w:type="dxa"/>
            <w:tcBorders>
              <w:top w:val="nil"/>
              <w:left w:val="single" w:sz="8" w:space="0" w:color="auto"/>
              <w:bottom w:val="single" w:sz="8" w:space="0" w:color="auto"/>
              <w:right w:val="single" w:sz="8" w:space="0" w:color="auto"/>
            </w:tcBorders>
            <w:shd w:val="clear" w:color="000000" w:fill="F2F2F2"/>
            <w:vAlign w:val="center"/>
            <w:hideMark/>
          </w:tcPr>
          <w:p w14:paraId="7C5E521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xml:space="preserve">Оценка при выплате аванса без покрытия </w:t>
            </w:r>
            <w:r w:rsidRPr="00FC7951">
              <w:rPr>
                <w:rFonts w:ascii="Times New Roman" w:hAnsi="Times New Roman" w:cs="Times New Roman"/>
              </w:rPr>
              <w:t>независимой</w:t>
            </w:r>
            <w:r w:rsidRPr="00FC7951">
              <w:rPr>
                <w:rFonts w:ascii="Times New Roman" w:hAnsi="Times New Roman" w:cs="Times New Roman"/>
                <w:color w:val="000000"/>
              </w:rPr>
              <w:t xml:space="preserve"> гарантией</w:t>
            </w:r>
          </w:p>
        </w:tc>
        <w:tc>
          <w:tcPr>
            <w:tcW w:w="851" w:type="dxa"/>
            <w:tcBorders>
              <w:top w:val="nil"/>
              <w:left w:val="nil"/>
              <w:bottom w:val="single" w:sz="8" w:space="0" w:color="auto"/>
              <w:right w:val="single" w:sz="8" w:space="0" w:color="auto"/>
            </w:tcBorders>
            <w:shd w:val="clear" w:color="000000" w:fill="FFE5E5"/>
            <w:noWrap/>
            <w:vAlign w:val="center"/>
            <w:hideMark/>
          </w:tcPr>
          <w:p w14:paraId="497FC93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w:t>
            </w:r>
          </w:p>
        </w:tc>
        <w:tc>
          <w:tcPr>
            <w:tcW w:w="636" w:type="dxa"/>
            <w:tcBorders>
              <w:top w:val="nil"/>
              <w:left w:val="nil"/>
              <w:bottom w:val="single" w:sz="8" w:space="0" w:color="auto"/>
              <w:right w:val="single" w:sz="8" w:space="0" w:color="auto"/>
            </w:tcBorders>
            <w:shd w:val="clear" w:color="000000" w:fill="FFE5E5"/>
            <w:noWrap/>
            <w:vAlign w:val="center"/>
            <w:hideMark/>
          </w:tcPr>
          <w:p w14:paraId="465832A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636" w:type="dxa"/>
            <w:tcBorders>
              <w:top w:val="nil"/>
              <w:left w:val="nil"/>
              <w:bottom w:val="single" w:sz="8" w:space="0" w:color="auto"/>
              <w:right w:val="single" w:sz="8" w:space="0" w:color="auto"/>
            </w:tcBorders>
            <w:shd w:val="clear" w:color="000000" w:fill="FFE5E5"/>
            <w:noWrap/>
            <w:vAlign w:val="center"/>
            <w:hideMark/>
          </w:tcPr>
          <w:p w14:paraId="409C166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0,14</w:t>
            </w:r>
          </w:p>
        </w:tc>
        <w:tc>
          <w:tcPr>
            <w:tcW w:w="636" w:type="dxa"/>
            <w:tcBorders>
              <w:top w:val="nil"/>
              <w:left w:val="nil"/>
              <w:bottom w:val="single" w:sz="8" w:space="0" w:color="auto"/>
              <w:right w:val="single" w:sz="8" w:space="0" w:color="auto"/>
            </w:tcBorders>
            <w:shd w:val="clear" w:color="000000" w:fill="FFE5E5"/>
            <w:noWrap/>
            <w:vAlign w:val="center"/>
            <w:hideMark/>
          </w:tcPr>
          <w:p w14:paraId="3F14FA5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0,21</w:t>
            </w:r>
          </w:p>
        </w:tc>
        <w:tc>
          <w:tcPr>
            <w:tcW w:w="636" w:type="dxa"/>
            <w:tcBorders>
              <w:top w:val="nil"/>
              <w:left w:val="nil"/>
              <w:bottom w:val="single" w:sz="8" w:space="0" w:color="auto"/>
              <w:right w:val="single" w:sz="8" w:space="0" w:color="auto"/>
            </w:tcBorders>
            <w:shd w:val="clear" w:color="000000" w:fill="FFE5E5"/>
            <w:noWrap/>
            <w:vAlign w:val="center"/>
            <w:hideMark/>
          </w:tcPr>
          <w:p w14:paraId="22D48B9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0,28</w:t>
            </w:r>
          </w:p>
        </w:tc>
        <w:tc>
          <w:tcPr>
            <w:tcW w:w="636" w:type="dxa"/>
            <w:tcBorders>
              <w:top w:val="nil"/>
              <w:left w:val="nil"/>
              <w:bottom w:val="single" w:sz="8" w:space="0" w:color="auto"/>
              <w:right w:val="single" w:sz="8" w:space="0" w:color="auto"/>
            </w:tcBorders>
            <w:shd w:val="clear" w:color="000000" w:fill="FFE5E5"/>
            <w:noWrap/>
            <w:vAlign w:val="center"/>
            <w:hideMark/>
          </w:tcPr>
          <w:p w14:paraId="4EFAD06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0,35</w:t>
            </w:r>
          </w:p>
        </w:tc>
        <w:tc>
          <w:tcPr>
            <w:tcW w:w="688" w:type="dxa"/>
            <w:tcBorders>
              <w:top w:val="nil"/>
              <w:left w:val="nil"/>
              <w:bottom w:val="single" w:sz="8" w:space="0" w:color="auto"/>
              <w:right w:val="single" w:sz="8" w:space="0" w:color="auto"/>
            </w:tcBorders>
            <w:shd w:val="clear" w:color="000000" w:fill="F8FFB9"/>
            <w:noWrap/>
            <w:vAlign w:val="center"/>
            <w:hideMark/>
          </w:tcPr>
          <w:p w14:paraId="0718F48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0,42</w:t>
            </w:r>
          </w:p>
        </w:tc>
        <w:tc>
          <w:tcPr>
            <w:tcW w:w="636" w:type="dxa"/>
            <w:tcBorders>
              <w:top w:val="nil"/>
              <w:left w:val="nil"/>
              <w:bottom w:val="single" w:sz="8" w:space="0" w:color="auto"/>
              <w:right w:val="single" w:sz="8" w:space="0" w:color="auto"/>
            </w:tcBorders>
            <w:shd w:val="clear" w:color="000000" w:fill="F8FFB9"/>
            <w:noWrap/>
            <w:vAlign w:val="center"/>
            <w:hideMark/>
          </w:tcPr>
          <w:p w14:paraId="6368B57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0,49</w:t>
            </w:r>
          </w:p>
        </w:tc>
        <w:tc>
          <w:tcPr>
            <w:tcW w:w="705" w:type="dxa"/>
            <w:tcBorders>
              <w:top w:val="nil"/>
              <w:left w:val="nil"/>
              <w:bottom w:val="single" w:sz="8" w:space="0" w:color="auto"/>
              <w:right w:val="single" w:sz="8" w:space="0" w:color="auto"/>
            </w:tcBorders>
            <w:shd w:val="clear" w:color="000000" w:fill="F8FFB9"/>
            <w:noWrap/>
            <w:vAlign w:val="center"/>
            <w:hideMark/>
          </w:tcPr>
          <w:p w14:paraId="4307078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0,56</w:t>
            </w:r>
          </w:p>
        </w:tc>
        <w:tc>
          <w:tcPr>
            <w:tcW w:w="816" w:type="dxa"/>
            <w:tcBorders>
              <w:top w:val="nil"/>
              <w:left w:val="nil"/>
              <w:bottom w:val="single" w:sz="8" w:space="0" w:color="auto"/>
              <w:right w:val="single" w:sz="8" w:space="0" w:color="auto"/>
            </w:tcBorders>
            <w:shd w:val="clear" w:color="000000" w:fill="C6FED1"/>
            <w:noWrap/>
            <w:vAlign w:val="center"/>
            <w:hideMark/>
          </w:tcPr>
          <w:p w14:paraId="7FB78ED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0,63</w:t>
            </w:r>
          </w:p>
        </w:tc>
        <w:tc>
          <w:tcPr>
            <w:tcW w:w="460" w:type="dxa"/>
            <w:tcBorders>
              <w:top w:val="nil"/>
              <w:left w:val="nil"/>
              <w:bottom w:val="single" w:sz="8" w:space="0" w:color="auto"/>
              <w:right w:val="single" w:sz="8" w:space="0" w:color="auto"/>
            </w:tcBorders>
            <w:shd w:val="clear" w:color="000000" w:fill="C6FED1"/>
            <w:noWrap/>
            <w:vAlign w:val="center"/>
            <w:hideMark/>
          </w:tcPr>
          <w:p w14:paraId="3FEFCA0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w:t>
            </w:r>
          </w:p>
        </w:tc>
      </w:tr>
      <w:tr w:rsidR="00B06B6F" w:rsidRPr="00FC7951" w14:paraId="0895342A" w14:textId="77777777" w:rsidTr="00791B2D">
        <w:trPr>
          <w:trHeight w:val="525"/>
        </w:trPr>
        <w:tc>
          <w:tcPr>
            <w:tcW w:w="2020" w:type="dxa"/>
            <w:tcBorders>
              <w:top w:val="nil"/>
              <w:left w:val="single" w:sz="8" w:space="0" w:color="auto"/>
              <w:bottom w:val="single" w:sz="8" w:space="0" w:color="auto"/>
              <w:right w:val="single" w:sz="8" w:space="0" w:color="auto"/>
            </w:tcBorders>
            <w:shd w:val="clear" w:color="auto" w:fill="auto"/>
            <w:vAlign w:val="center"/>
            <w:hideMark/>
          </w:tcPr>
          <w:p w14:paraId="7EB707D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Величина аванса / Годовая выручка</w:t>
            </w:r>
          </w:p>
        </w:tc>
        <w:tc>
          <w:tcPr>
            <w:tcW w:w="851" w:type="dxa"/>
            <w:tcBorders>
              <w:top w:val="nil"/>
              <w:left w:val="nil"/>
              <w:bottom w:val="single" w:sz="8" w:space="0" w:color="auto"/>
              <w:right w:val="single" w:sz="8" w:space="0" w:color="auto"/>
            </w:tcBorders>
            <w:shd w:val="clear" w:color="auto" w:fill="auto"/>
            <w:vAlign w:val="center"/>
            <w:hideMark/>
          </w:tcPr>
          <w:p w14:paraId="4EB5F38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0,7 и более</w:t>
            </w:r>
          </w:p>
        </w:tc>
        <w:tc>
          <w:tcPr>
            <w:tcW w:w="636" w:type="dxa"/>
            <w:tcBorders>
              <w:top w:val="nil"/>
              <w:left w:val="nil"/>
              <w:bottom w:val="single" w:sz="8" w:space="0" w:color="auto"/>
              <w:right w:val="single" w:sz="8" w:space="0" w:color="auto"/>
            </w:tcBorders>
            <w:shd w:val="clear" w:color="auto" w:fill="auto"/>
            <w:noWrap/>
            <w:vAlign w:val="center"/>
            <w:hideMark/>
          </w:tcPr>
          <w:p w14:paraId="354BF26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636" w:type="dxa"/>
            <w:tcBorders>
              <w:top w:val="nil"/>
              <w:left w:val="nil"/>
              <w:bottom w:val="single" w:sz="8" w:space="0" w:color="auto"/>
              <w:right w:val="single" w:sz="8" w:space="0" w:color="auto"/>
            </w:tcBorders>
            <w:shd w:val="clear" w:color="auto" w:fill="auto"/>
            <w:noWrap/>
            <w:vAlign w:val="center"/>
            <w:hideMark/>
          </w:tcPr>
          <w:p w14:paraId="3D9E74D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0,5</w:t>
            </w:r>
          </w:p>
        </w:tc>
        <w:tc>
          <w:tcPr>
            <w:tcW w:w="636" w:type="dxa"/>
            <w:tcBorders>
              <w:top w:val="nil"/>
              <w:left w:val="nil"/>
              <w:bottom w:val="single" w:sz="8" w:space="0" w:color="auto"/>
              <w:right w:val="single" w:sz="8" w:space="0" w:color="auto"/>
            </w:tcBorders>
            <w:shd w:val="clear" w:color="auto" w:fill="auto"/>
            <w:noWrap/>
            <w:vAlign w:val="center"/>
            <w:hideMark/>
          </w:tcPr>
          <w:p w14:paraId="02F6254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w:t>
            </w:r>
          </w:p>
        </w:tc>
        <w:tc>
          <w:tcPr>
            <w:tcW w:w="636" w:type="dxa"/>
            <w:tcBorders>
              <w:top w:val="nil"/>
              <w:left w:val="nil"/>
              <w:bottom w:val="single" w:sz="8" w:space="0" w:color="auto"/>
              <w:right w:val="single" w:sz="8" w:space="0" w:color="auto"/>
            </w:tcBorders>
            <w:shd w:val="clear" w:color="auto" w:fill="auto"/>
            <w:noWrap/>
            <w:vAlign w:val="center"/>
            <w:hideMark/>
          </w:tcPr>
          <w:p w14:paraId="3800798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w:t>
            </w:r>
          </w:p>
        </w:tc>
        <w:tc>
          <w:tcPr>
            <w:tcW w:w="636" w:type="dxa"/>
            <w:tcBorders>
              <w:top w:val="nil"/>
              <w:left w:val="nil"/>
              <w:bottom w:val="single" w:sz="8" w:space="0" w:color="auto"/>
              <w:right w:val="single" w:sz="8" w:space="0" w:color="auto"/>
            </w:tcBorders>
            <w:shd w:val="clear" w:color="auto" w:fill="auto"/>
            <w:noWrap/>
            <w:vAlign w:val="center"/>
            <w:hideMark/>
          </w:tcPr>
          <w:p w14:paraId="0542B8A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0,23</w:t>
            </w:r>
          </w:p>
        </w:tc>
        <w:tc>
          <w:tcPr>
            <w:tcW w:w="688" w:type="dxa"/>
            <w:tcBorders>
              <w:top w:val="nil"/>
              <w:left w:val="nil"/>
              <w:bottom w:val="single" w:sz="8" w:space="0" w:color="auto"/>
              <w:right w:val="single" w:sz="8" w:space="0" w:color="auto"/>
            </w:tcBorders>
            <w:shd w:val="clear" w:color="auto" w:fill="auto"/>
            <w:noWrap/>
            <w:vAlign w:val="center"/>
            <w:hideMark/>
          </w:tcPr>
          <w:p w14:paraId="6BB317F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0,16</w:t>
            </w:r>
          </w:p>
        </w:tc>
        <w:tc>
          <w:tcPr>
            <w:tcW w:w="636" w:type="dxa"/>
            <w:tcBorders>
              <w:top w:val="nil"/>
              <w:left w:val="nil"/>
              <w:bottom w:val="single" w:sz="8" w:space="0" w:color="auto"/>
              <w:right w:val="single" w:sz="8" w:space="0" w:color="auto"/>
            </w:tcBorders>
            <w:shd w:val="clear" w:color="auto" w:fill="auto"/>
            <w:noWrap/>
            <w:vAlign w:val="center"/>
            <w:hideMark/>
          </w:tcPr>
          <w:p w14:paraId="50AB40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705" w:type="dxa"/>
            <w:tcBorders>
              <w:top w:val="nil"/>
              <w:left w:val="nil"/>
              <w:bottom w:val="single" w:sz="8" w:space="0" w:color="auto"/>
              <w:right w:val="single" w:sz="8" w:space="0" w:color="auto"/>
            </w:tcBorders>
            <w:shd w:val="clear" w:color="auto" w:fill="auto"/>
            <w:noWrap/>
            <w:vAlign w:val="center"/>
            <w:hideMark/>
          </w:tcPr>
          <w:p w14:paraId="54C85D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0,07</w:t>
            </w:r>
          </w:p>
        </w:tc>
        <w:tc>
          <w:tcPr>
            <w:tcW w:w="816" w:type="dxa"/>
            <w:tcBorders>
              <w:top w:val="nil"/>
              <w:left w:val="nil"/>
              <w:bottom w:val="single" w:sz="8" w:space="0" w:color="auto"/>
              <w:right w:val="single" w:sz="8" w:space="0" w:color="auto"/>
            </w:tcBorders>
            <w:shd w:val="clear" w:color="auto" w:fill="auto"/>
            <w:noWrap/>
            <w:vAlign w:val="center"/>
            <w:hideMark/>
          </w:tcPr>
          <w:p w14:paraId="25BD887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w:t>
            </w:r>
          </w:p>
        </w:tc>
        <w:tc>
          <w:tcPr>
            <w:tcW w:w="460" w:type="dxa"/>
            <w:tcBorders>
              <w:top w:val="nil"/>
              <w:left w:val="nil"/>
              <w:bottom w:val="single" w:sz="8" w:space="0" w:color="auto"/>
              <w:right w:val="single" w:sz="8" w:space="0" w:color="auto"/>
            </w:tcBorders>
            <w:shd w:val="clear" w:color="auto" w:fill="auto"/>
            <w:vAlign w:val="center"/>
            <w:hideMark/>
          </w:tcPr>
          <w:p w14:paraId="73290AE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0.025 и менее</w:t>
            </w:r>
          </w:p>
        </w:tc>
      </w:tr>
      <w:tr w:rsidR="00B06B6F" w:rsidRPr="00FC7951" w14:paraId="013D40D8" w14:textId="77777777" w:rsidTr="00791B2D">
        <w:trPr>
          <w:trHeight w:val="525"/>
        </w:trPr>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EFEF1B8"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Величина аванса / Активы</w:t>
            </w:r>
          </w:p>
        </w:tc>
        <w:tc>
          <w:tcPr>
            <w:tcW w:w="851" w:type="dxa"/>
            <w:tcBorders>
              <w:top w:val="single" w:sz="8" w:space="0" w:color="auto"/>
              <w:left w:val="nil"/>
              <w:bottom w:val="single" w:sz="4" w:space="0" w:color="auto"/>
              <w:right w:val="single" w:sz="8" w:space="0" w:color="auto"/>
            </w:tcBorders>
            <w:shd w:val="clear" w:color="auto" w:fill="auto"/>
            <w:vAlign w:val="center"/>
            <w:hideMark/>
          </w:tcPr>
          <w:p w14:paraId="758BFE1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1.4 и более</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16A0189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1,2</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16DD31E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1</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3ED02FD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0,8</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53C89C3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0,6</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521E5BB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0,46</w:t>
            </w:r>
          </w:p>
        </w:tc>
        <w:tc>
          <w:tcPr>
            <w:tcW w:w="688" w:type="dxa"/>
            <w:tcBorders>
              <w:top w:val="single" w:sz="8" w:space="0" w:color="auto"/>
              <w:left w:val="nil"/>
              <w:bottom w:val="single" w:sz="4" w:space="0" w:color="auto"/>
              <w:right w:val="single" w:sz="8" w:space="0" w:color="auto"/>
            </w:tcBorders>
            <w:shd w:val="clear" w:color="auto" w:fill="auto"/>
            <w:noWrap/>
            <w:vAlign w:val="center"/>
            <w:hideMark/>
          </w:tcPr>
          <w:p w14:paraId="71B0BAD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lang w:val="en-US"/>
              </w:rPr>
              <w:t>0,33</w:t>
            </w:r>
          </w:p>
        </w:tc>
        <w:tc>
          <w:tcPr>
            <w:tcW w:w="636" w:type="dxa"/>
            <w:tcBorders>
              <w:top w:val="single" w:sz="8" w:space="0" w:color="auto"/>
              <w:left w:val="nil"/>
              <w:bottom w:val="single" w:sz="4" w:space="0" w:color="auto"/>
              <w:right w:val="single" w:sz="8" w:space="0" w:color="auto"/>
            </w:tcBorders>
            <w:shd w:val="clear" w:color="auto" w:fill="auto"/>
            <w:noWrap/>
            <w:vAlign w:val="center"/>
            <w:hideMark/>
          </w:tcPr>
          <w:p w14:paraId="23FBC72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w:t>
            </w:r>
          </w:p>
        </w:tc>
        <w:tc>
          <w:tcPr>
            <w:tcW w:w="705" w:type="dxa"/>
            <w:tcBorders>
              <w:top w:val="single" w:sz="8" w:space="0" w:color="auto"/>
              <w:left w:val="nil"/>
              <w:bottom w:val="single" w:sz="4" w:space="0" w:color="auto"/>
              <w:right w:val="single" w:sz="8" w:space="0" w:color="auto"/>
            </w:tcBorders>
            <w:shd w:val="clear" w:color="auto" w:fill="auto"/>
            <w:noWrap/>
            <w:vAlign w:val="center"/>
            <w:hideMark/>
          </w:tcPr>
          <w:p w14:paraId="0D1329B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0,15</w:t>
            </w:r>
          </w:p>
        </w:tc>
        <w:tc>
          <w:tcPr>
            <w:tcW w:w="816" w:type="dxa"/>
            <w:tcBorders>
              <w:top w:val="single" w:sz="8" w:space="0" w:color="auto"/>
              <w:left w:val="nil"/>
              <w:bottom w:val="single" w:sz="4" w:space="0" w:color="auto"/>
              <w:right w:val="single" w:sz="8" w:space="0" w:color="auto"/>
            </w:tcBorders>
            <w:shd w:val="clear" w:color="auto" w:fill="auto"/>
            <w:noWrap/>
            <w:vAlign w:val="center"/>
            <w:hideMark/>
          </w:tcPr>
          <w:p w14:paraId="3333F41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w:t>
            </w:r>
          </w:p>
        </w:tc>
        <w:tc>
          <w:tcPr>
            <w:tcW w:w="460" w:type="dxa"/>
            <w:tcBorders>
              <w:top w:val="single" w:sz="8" w:space="0" w:color="auto"/>
              <w:left w:val="nil"/>
              <w:bottom w:val="single" w:sz="4" w:space="0" w:color="auto"/>
              <w:right w:val="single" w:sz="8" w:space="0" w:color="auto"/>
            </w:tcBorders>
            <w:shd w:val="clear" w:color="auto" w:fill="auto"/>
            <w:vAlign w:val="center"/>
            <w:hideMark/>
          </w:tcPr>
          <w:p w14:paraId="6B2839C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0.05 и менее</w:t>
            </w:r>
          </w:p>
        </w:tc>
      </w:tr>
    </w:tbl>
    <w:p w14:paraId="25ED3EC4" w14:textId="77777777" w:rsidR="00B06B6F" w:rsidRPr="00FC7951" w:rsidRDefault="00B06B6F" w:rsidP="00725F19">
      <w:pPr>
        <w:rPr>
          <w:rFonts w:ascii="Times New Roman" w:hAnsi="Times New Roman" w:cs="Times New Roman"/>
        </w:rPr>
      </w:pPr>
    </w:p>
    <w:p w14:paraId="198DA3B2" w14:textId="77777777" w:rsidR="00B06B6F" w:rsidRPr="00791B2D" w:rsidRDefault="00B06B6F" w:rsidP="00725F19">
      <w:pPr>
        <w:pStyle w:val="1"/>
        <w:tabs>
          <w:tab w:val="clear" w:pos="1353"/>
          <w:tab w:val="left" w:pos="1134"/>
          <w:tab w:val="num" w:pos="1418"/>
        </w:tabs>
        <w:ind w:left="0" w:firstLine="709"/>
      </w:pPr>
      <w:bookmarkStart w:id="24" w:name="_Toc107244335"/>
      <w:bookmarkStart w:id="25" w:name="_Toc107247774"/>
      <w:r w:rsidRPr="00791B2D">
        <w:t>ВЕСОВЫЕ КОЭФФИЦИЕНТЫ И ФОРМИРОВАНИЕ ПЕРВИЧНОЙ ОЦЕНКИ</w:t>
      </w:r>
      <w:bookmarkEnd w:id="24"/>
      <w:bookmarkEnd w:id="25"/>
    </w:p>
    <w:p w14:paraId="69CDB55F"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Для расчета финансовых показателей используются данные бухгалтерской отчетности участников закупочной процедуры по состоянию на три отчетные даты (при наличии таких данных): предпоследний и последний завершенные финансовые годы, а </w:t>
      </w:r>
      <w:r w:rsidRPr="00791B2D">
        <w:lastRenderedPageBreak/>
        <w:t>также последняя отчетная дата незавершенного финансового года* (в случае если предоставление документов не противоречит действующему Законодательству). Предоставленная участником в рамках закупочной процедуры, в том числе по закупкам, участниками которых могут быть только субъекты МСП, подписанная и заверенная печатью промежуточная бухгалтерская отчетность (по состоянию на 31.03, 30.06, 30.09 текущего года) используется экспертом при оценке финансового состояния в качестве бухгалтерской отчетности на последнюю отчетную дату незавершенного финансового года. В части влияния на итоговую оценку финансовые показатели, рассчитанные на указанные отчетные даты, учитываются с весовыми коэффициентами отчетных дат, представленными в Таблице Весовые коэффициенты отчетных дат.</w:t>
      </w:r>
    </w:p>
    <w:p w14:paraId="13B3ED92"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Весовые коэффициенты отчетных дат</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260"/>
        <w:gridCol w:w="3119"/>
      </w:tblGrid>
      <w:tr w:rsidR="00B06B6F" w:rsidRPr="00FC7951" w14:paraId="05B27DDB" w14:textId="77777777" w:rsidTr="00791B2D">
        <w:trPr>
          <w:trHeight w:val="300"/>
        </w:trPr>
        <w:tc>
          <w:tcPr>
            <w:tcW w:w="2977" w:type="dxa"/>
            <w:shd w:val="clear" w:color="000000" w:fill="F2F2F2"/>
            <w:noWrap/>
            <w:vAlign w:val="center"/>
          </w:tcPr>
          <w:p w14:paraId="78ADB2F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Предпоследний завершенный финансовый год</w:t>
            </w:r>
          </w:p>
        </w:tc>
        <w:tc>
          <w:tcPr>
            <w:tcW w:w="3260" w:type="dxa"/>
            <w:shd w:val="clear" w:color="000000" w:fill="F2F2F2"/>
            <w:noWrap/>
            <w:vAlign w:val="center"/>
          </w:tcPr>
          <w:p w14:paraId="3AB8492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Последний завершенный финансовый год</w:t>
            </w:r>
          </w:p>
        </w:tc>
        <w:tc>
          <w:tcPr>
            <w:tcW w:w="3119" w:type="dxa"/>
            <w:shd w:val="clear" w:color="000000" w:fill="F2F2F2"/>
            <w:noWrap/>
            <w:vAlign w:val="center"/>
          </w:tcPr>
          <w:p w14:paraId="4ADC6F9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Последняя отчетная дата незавершенного финансового года*</w:t>
            </w:r>
          </w:p>
        </w:tc>
      </w:tr>
      <w:tr w:rsidR="00B06B6F" w:rsidRPr="00FC7951" w14:paraId="6E99B786" w14:textId="77777777" w:rsidTr="00791B2D">
        <w:trPr>
          <w:trHeight w:val="300"/>
        </w:trPr>
        <w:tc>
          <w:tcPr>
            <w:tcW w:w="2977" w:type="dxa"/>
            <w:shd w:val="clear" w:color="auto" w:fill="auto"/>
            <w:noWrap/>
            <w:vAlign w:val="center"/>
          </w:tcPr>
          <w:p w14:paraId="2B92E7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25%</w:t>
            </w:r>
          </w:p>
        </w:tc>
        <w:tc>
          <w:tcPr>
            <w:tcW w:w="3260" w:type="dxa"/>
            <w:shd w:val="clear" w:color="auto" w:fill="auto"/>
            <w:noWrap/>
            <w:vAlign w:val="center"/>
          </w:tcPr>
          <w:p w14:paraId="3DBFEC9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50%</w:t>
            </w:r>
          </w:p>
        </w:tc>
        <w:tc>
          <w:tcPr>
            <w:tcW w:w="3119" w:type="dxa"/>
            <w:shd w:val="clear" w:color="auto" w:fill="auto"/>
            <w:noWrap/>
            <w:vAlign w:val="center"/>
          </w:tcPr>
          <w:p w14:paraId="06E3DCC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25%</w:t>
            </w:r>
          </w:p>
        </w:tc>
      </w:tr>
      <w:tr w:rsidR="00B06B6F" w:rsidRPr="00FC7951" w14:paraId="44B619F5" w14:textId="77777777" w:rsidTr="00791B2D">
        <w:trPr>
          <w:trHeight w:val="300"/>
        </w:trPr>
        <w:tc>
          <w:tcPr>
            <w:tcW w:w="2977" w:type="dxa"/>
            <w:shd w:val="clear" w:color="auto" w:fill="auto"/>
            <w:noWrap/>
            <w:vAlign w:val="center"/>
          </w:tcPr>
          <w:p w14:paraId="1A228BD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33,3%</w:t>
            </w:r>
          </w:p>
        </w:tc>
        <w:tc>
          <w:tcPr>
            <w:tcW w:w="3260" w:type="dxa"/>
            <w:shd w:val="clear" w:color="auto" w:fill="auto"/>
            <w:noWrap/>
            <w:vAlign w:val="center"/>
          </w:tcPr>
          <w:p w14:paraId="3A5B69D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66,7%</w:t>
            </w:r>
          </w:p>
        </w:tc>
        <w:tc>
          <w:tcPr>
            <w:tcW w:w="3119" w:type="dxa"/>
            <w:shd w:val="clear" w:color="000000" w:fill="FFE5E5"/>
            <w:noWrap/>
            <w:vAlign w:val="center"/>
          </w:tcPr>
          <w:p w14:paraId="5FF7E91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r>
      <w:tr w:rsidR="00B06B6F" w:rsidRPr="00FC7951" w14:paraId="71F2FF40" w14:textId="77777777" w:rsidTr="00791B2D">
        <w:trPr>
          <w:trHeight w:val="300"/>
        </w:trPr>
        <w:tc>
          <w:tcPr>
            <w:tcW w:w="2977" w:type="dxa"/>
            <w:shd w:val="clear" w:color="000000" w:fill="FFE5E5"/>
            <w:noWrap/>
            <w:vAlign w:val="center"/>
          </w:tcPr>
          <w:p w14:paraId="190E967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260" w:type="dxa"/>
            <w:shd w:val="clear" w:color="auto" w:fill="auto"/>
            <w:noWrap/>
            <w:vAlign w:val="center"/>
          </w:tcPr>
          <w:p w14:paraId="5FAFDBA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66,7%</w:t>
            </w:r>
          </w:p>
        </w:tc>
        <w:tc>
          <w:tcPr>
            <w:tcW w:w="3119" w:type="dxa"/>
            <w:shd w:val="clear" w:color="auto" w:fill="auto"/>
            <w:noWrap/>
            <w:vAlign w:val="center"/>
          </w:tcPr>
          <w:p w14:paraId="788A6F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33,3%</w:t>
            </w:r>
          </w:p>
        </w:tc>
      </w:tr>
      <w:tr w:rsidR="00B06B6F" w:rsidRPr="00FC7951" w14:paraId="4756B0FB" w14:textId="77777777" w:rsidTr="00791B2D">
        <w:trPr>
          <w:trHeight w:val="300"/>
        </w:trPr>
        <w:tc>
          <w:tcPr>
            <w:tcW w:w="2977" w:type="dxa"/>
            <w:shd w:val="clear" w:color="000000" w:fill="FFE5E5"/>
            <w:noWrap/>
            <w:vAlign w:val="center"/>
          </w:tcPr>
          <w:p w14:paraId="1237257A"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260" w:type="dxa"/>
            <w:shd w:val="clear" w:color="000000" w:fill="FFE5E5"/>
            <w:noWrap/>
            <w:vAlign w:val="center"/>
          </w:tcPr>
          <w:p w14:paraId="68A56A19"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отсутствует</w:t>
            </w:r>
          </w:p>
        </w:tc>
        <w:tc>
          <w:tcPr>
            <w:tcW w:w="3119" w:type="dxa"/>
            <w:shd w:val="clear" w:color="auto" w:fill="auto"/>
            <w:noWrap/>
            <w:vAlign w:val="center"/>
          </w:tcPr>
          <w:p w14:paraId="2CE42470"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100%</w:t>
            </w:r>
          </w:p>
        </w:tc>
      </w:tr>
    </w:tbl>
    <w:p w14:paraId="63D07448" w14:textId="77777777" w:rsidR="00B06B6F" w:rsidRPr="00FC7951" w:rsidRDefault="00B06B6F" w:rsidP="00725F19">
      <w:pPr>
        <w:spacing w:before="120" w:after="120"/>
        <w:jc w:val="both"/>
        <w:rPr>
          <w:rFonts w:ascii="Times New Roman" w:hAnsi="Times New Roman" w:cs="Times New Roman"/>
          <w:i/>
        </w:rPr>
      </w:pPr>
      <w:r w:rsidRPr="00FC7951">
        <w:rPr>
          <w:rFonts w:ascii="Times New Roman" w:hAnsi="Times New Roman" w:cs="Times New Roman"/>
          <w:i/>
        </w:rPr>
        <w:t>*</w:t>
      </w:r>
      <w:r w:rsidRPr="00791B2D">
        <w:rPr>
          <w:rFonts w:ascii="Times New Roman" w:hAnsi="Times New Roman" w:cs="Times New Roman"/>
          <w:i/>
          <w:sz w:val="24"/>
          <w:szCs w:val="24"/>
        </w:rPr>
        <w:t>учитывая, что составление промежуточной (по состоянию на 31.03, 30.06, 30.09 текущего года) бухгалтерской отчетности не является обязательным, оценка финансового состояния участников на промежуточные отчетные даты осуществляется только в случае предоставления участниками закупочной процедуры такой отчетности. Применение последней строки таблицы допускается только в случаях недостаточно продолжительного срока существования участника / проведенной реорганизации.</w:t>
      </w:r>
    </w:p>
    <w:p w14:paraId="4F09EBF6" w14:textId="77777777" w:rsidR="00B06B6F" w:rsidRPr="00791B2D" w:rsidRDefault="00B06B6F" w:rsidP="00725F19">
      <w:pPr>
        <w:pStyle w:val="ac"/>
        <w:numPr>
          <w:ilvl w:val="1"/>
          <w:numId w:val="1"/>
        </w:numPr>
        <w:tabs>
          <w:tab w:val="left" w:pos="1134"/>
        </w:tabs>
        <w:spacing w:before="120" w:after="120"/>
        <w:ind w:left="0" w:firstLine="709"/>
        <w:jc w:val="both"/>
      </w:pPr>
      <w:r w:rsidRPr="00791B2D">
        <w:t>Допускается корректировка весовых коэффициентов отчетных дат по причине недостаточно продолжительной истории существования / проведенной реорганизации участника закупочной процедуры, а такж</w:t>
      </w:r>
      <w:r w:rsidR="00391929" w:rsidRPr="00791B2D">
        <w:t>е в случаях проведения закупок</w:t>
      </w:r>
      <w:r w:rsidRPr="00791B2D">
        <w:t>, когда данные за прошедшие финансовые года отсутствуют (для закупок среди субъектов МСП - в том числе в информационно-аналитических системах «ГИР БО», «</w:t>
      </w:r>
      <w:proofErr w:type="spellStart"/>
      <w:r w:rsidRPr="00791B2D">
        <w:t>Спарк</w:t>
      </w:r>
      <w:proofErr w:type="spellEnd"/>
      <w:r w:rsidRPr="00791B2D">
        <w:t>-Интерфакс» и др.), как это указано в строках 3 и 4 Таблицы Весовые коэффициенты отчетных дат.</w:t>
      </w:r>
    </w:p>
    <w:p w14:paraId="4AAE153B"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 В случае отсутствия данных бухгалтерской отчетности за какой-либо завершенный финансовый год (в случае если предоставление документа не противоречит действующему Законодательству) из указанных в таблице по причине не предоставления участником закупочной процедуры или другим причинам, отличным от описанных в п. 9.2. и при отсутствии указанной информации в других источниках (например, ГИР БО,  </w:t>
      </w:r>
      <w:proofErr w:type="spellStart"/>
      <w:r w:rsidRPr="00791B2D">
        <w:t>Спарк</w:t>
      </w:r>
      <w:proofErr w:type="spellEnd"/>
      <w:r w:rsidRPr="00791B2D">
        <w:t>-Интерфакс и др.), и если при этом данный факт существенно влияет на оценку кредитных рисков конкретного участника закупочной процедуры итоговая оценка для данного участника должна быть понижена Экспертом, но не более чем на 1,5 балла по пятибалльной шкале</w:t>
      </w:r>
    </w:p>
    <w:p w14:paraId="1371629C" w14:textId="77777777" w:rsidR="00B06B6F" w:rsidRPr="00FC7951" w:rsidRDefault="00B06B6F" w:rsidP="00725F19">
      <w:pPr>
        <w:pStyle w:val="ac"/>
        <w:numPr>
          <w:ilvl w:val="1"/>
          <w:numId w:val="1"/>
        </w:numPr>
        <w:tabs>
          <w:tab w:val="left" w:pos="1134"/>
        </w:tabs>
        <w:spacing w:before="120" w:after="120"/>
        <w:ind w:left="0" w:firstLine="709"/>
        <w:jc w:val="both"/>
      </w:pPr>
      <w:r w:rsidRPr="00791B2D">
        <w:t>Участник закупочной процедуры, не предоставивший бухгалтерскую отчетность (в случае если предоставление документа не противоречит действующему Законодательству), в том числе после осуществления дополнительного запроса с учетом</w:t>
      </w:r>
      <w:r w:rsidRPr="00FC7951">
        <w:t xml:space="preserve"> </w:t>
      </w:r>
      <w:r w:rsidRPr="00FC7951">
        <w:lastRenderedPageBreak/>
        <w:t>ограничений, установленных в ВНД, указанных в разделе 12 Методики, ни на одну из указанных отчетных дат, должен быть отклонен на отборочной стадии.</w:t>
      </w:r>
    </w:p>
    <w:p w14:paraId="7FE0BCE8"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После того как каждому финансовому показателю (с учетом веса отчетных дат) и показателям бизнес-риска в зависимости от принимаемых значений присвоены баллы от 0 до 1 (где 0 соответствует неудовлетворительному, а 1 – отличному значению показателя), осуществляется взвешенное суммирование. Весовые коэффициенты для каждой группы показателей устанавливаются настоящей Методикой (Таблица Весовые коэффициенты). А основным результатом применения </w:t>
      </w:r>
      <w:proofErr w:type="spellStart"/>
      <w:r w:rsidRPr="00FC7951">
        <w:t>балльно</w:t>
      </w:r>
      <w:proofErr w:type="spellEnd"/>
      <w:r w:rsidRPr="00FC7951">
        <w:t>-весового подхода с параметрами (баллами и весами), описанными выше, является первичная оценка по шкале от 0 до 1. Данная оценка используется как на отборочной стадии, посредством установки минимального проходного балла, так и на оценочной стадии для ранжирования предложений участников закупочной процедуры.</w:t>
      </w:r>
    </w:p>
    <w:p w14:paraId="6BBBFFFF" w14:textId="77777777" w:rsidR="00B06B6F" w:rsidRPr="00FC7951" w:rsidRDefault="00B06B6F" w:rsidP="00725F19">
      <w:pPr>
        <w:spacing w:before="120" w:after="120"/>
        <w:jc w:val="right"/>
        <w:rPr>
          <w:rFonts w:ascii="Times New Roman" w:hAnsi="Times New Roman" w:cs="Times New Roman"/>
        </w:rPr>
      </w:pPr>
    </w:p>
    <w:p w14:paraId="2658D33F"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Весовые коэффициенты</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63"/>
        <w:gridCol w:w="2463"/>
        <w:gridCol w:w="850"/>
        <w:gridCol w:w="1276"/>
      </w:tblGrid>
      <w:tr w:rsidR="00B06B6F" w:rsidRPr="00FC7951" w14:paraId="72A4B3F6" w14:textId="77777777" w:rsidTr="00791B2D">
        <w:trPr>
          <w:trHeight w:val="2235"/>
        </w:trPr>
        <w:tc>
          <w:tcPr>
            <w:tcW w:w="1050" w:type="dxa"/>
            <w:shd w:val="clear" w:color="auto" w:fill="auto"/>
            <w:noWrap/>
            <w:vAlign w:val="bottom"/>
          </w:tcPr>
          <w:p w14:paraId="38ACEA3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noWrap/>
            <w:vAlign w:val="bottom"/>
          </w:tcPr>
          <w:p w14:paraId="5CA2CB2C"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656" w:type="dxa"/>
            <w:shd w:val="clear" w:color="auto" w:fill="auto"/>
            <w:textDirection w:val="btLr"/>
            <w:vAlign w:val="center"/>
          </w:tcPr>
          <w:p w14:paraId="6C594CD8"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группы</w:t>
            </w:r>
          </w:p>
        </w:tc>
        <w:tc>
          <w:tcPr>
            <w:tcW w:w="2463" w:type="dxa"/>
            <w:shd w:val="clear" w:color="auto" w:fill="auto"/>
            <w:noWrap/>
            <w:vAlign w:val="center"/>
          </w:tcPr>
          <w:p w14:paraId="38E5EF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Показатель</w:t>
            </w:r>
          </w:p>
        </w:tc>
        <w:tc>
          <w:tcPr>
            <w:tcW w:w="850" w:type="dxa"/>
            <w:shd w:val="clear" w:color="auto" w:fill="auto"/>
            <w:textDirection w:val="btLr"/>
            <w:vAlign w:val="center"/>
          </w:tcPr>
          <w:p w14:paraId="68335CA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показателя внутри группы</w:t>
            </w:r>
          </w:p>
        </w:tc>
        <w:tc>
          <w:tcPr>
            <w:tcW w:w="1276" w:type="dxa"/>
            <w:shd w:val="clear" w:color="auto" w:fill="auto"/>
            <w:textDirection w:val="btLr"/>
            <w:vAlign w:val="center"/>
          </w:tcPr>
          <w:p w14:paraId="1576338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Итоговый вес показателя с учетом веса группы показателей</w:t>
            </w:r>
          </w:p>
        </w:tc>
      </w:tr>
      <w:tr w:rsidR="00B06B6F" w:rsidRPr="00FC7951" w14:paraId="6459A781" w14:textId="77777777" w:rsidTr="00791B2D">
        <w:trPr>
          <w:trHeight w:val="600"/>
        </w:trPr>
        <w:tc>
          <w:tcPr>
            <w:tcW w:w="1050" w:type="dxa"/>
            <w:vMerge w:val="restart"/>
            <w:shd w:val="clear" w:color="auto" w:fill="auto"/>
            <w:textDirection w:val="btLr"/>
            <w:vAlign w:val="center"/>
          </w:tcPr>
          <w:p w14:paraId="3398DB5B"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финансовых показателей</w:t>
            </w:r>
          </w:p>
        </w:tc>
        <w:tc>
          <w:tcPr>
            <w:tcW w:w="3061" w:type="dxa"/>
            <w:vMerge w:val="restart"/>
            <w:shd w:val="clear" w:color="auto" w:fill="auto"/>
          </w:tcPr>
          <w:p w14:paraId="0A23F69F"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1 группа</w:t>
            </w:r>
            <w:r w:rsidRPr="00FC7951">
              <w:rPr>
                <w:rFonts w:ascii="Times New Roman" w:hAnsi="Times New Roman" w:cs="Times New Roman"/>
                <w:color w:val="000000"/>
              </w:rPr>
              <w:t xml:space="preserve"> Коэффициенты, характеризующие способность участника расплачиваться по финансовым обязательствам и устойчивость:</w:t>
            </w:r>
          </w:p>
        </w:tc>
        <w:tc>
          <w:tcPr>
            <w:tcW w:w="656" w:type="dxa"/>
            <w:vMerge w:val="restart"/>
            <w:shd w:val="clear" w:color="auto" w:fill="auto"/>
            <w:vAlign w:val="center"/>
          </w:tcPr>
          <w:p w14:paraId="20B8ECF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0,30</w:t>
            </w:r>
          </w:p>
        </w:tc>
        <w:tc>
          <w:tcPr>
            <w:tcW w:w="2463" w:type="dxa"/>
            <w:shd w:val="clear" w:color="auto" w:fill="auto"/>
          </w:tcPr>
          <w:p w14:paraId="71673982"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Доля привлеченных средств в пассивах</w:t>
            </w:r>
          </w:p>
        </w:tc>
        <w:tc>
          <w:tcPr>
            <w:tcW w:w="850" w:type="dxa"/>
            <w:shd w:val="clear" w:color="auto" w:fill="auto"/>
            <w:noWrap/>
            <w:vAlign w:val="center"/>
          </w:tcPr>
          <w:p w14:paraId="20162D82"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0DDCA2A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0,15</w:t>
            </w:r>
          </w:p>
        </w:tc>
      </w:tr>
      <w:tr w:rsidR="00B06B6F" w:rsidRPr="00FC7951" w14:paraId="747323D8" w14:textId="77777777" w:rsidTr="00791B2D">
        <w:trPr>
          <w:trHeight w:val="600"/>
        </w:trPr>
        <w:tc>
          <w:tcPr>
            <w:tcW w:w="1050" w:type="dxa"/>
            <w:vMerge/>
            <w:vAlign w:val="center"/>
          </w:tcPr>
          <w:p w14:paraId="5E7BE5D7"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522D4B1C" w14:textId="77777777" w:rsidR="00B06B6F" w:rsidRPr="00FC7951" w:rsidRDefault="00B06B6F" w:rsidP="00725F19">
            <w:pPr>
              <w:rPr>
                <w:rFonts w:ascii="Times New Roman" w:hAnsi="Times New Roman" w:cs="Times New Roman"/>
                <w:color w:val="000000"/>
              </w:rPr>
            </w:pPr>
          </w:p>
        </w:tc>
        <w:tc>
          <w:tcPr>
            <w:tcW w:w="656" w:type="dxa"/>
            <w:vMerge/>
            <w:vAlign w:val="center"/>
          </w:tcPr>
          <w:p w14:paraId="2EA7617E"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6653DCF6"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Рентабельность инвестированного капитала</w:t>
            </w:r>
          </w:p>
        </w:tc>
        <w:tc>
          <w:tcPr>
            <w:tcW w:w="850" w:type="dxa"/>
            <w:shd w:val="clear" w:color="auto" w:fill="auto"/>
            <w:noWrap/>
            <w:vAlign w:val="center"/>
          </w:tcPr>
          <w:p w14:paraId="3A50C06E"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20%</w:t>
            </w:r>
          </w:p>
        </w:tc>
        <w:tc>
          <w:tcPr>
            <w:tcW w:w="1276" w:type="dxa"/>
            <w:shd w:val="clear" w:color="auto" w:fill="auto"/>
            <w:noWrap/>
            <w:vAlign w:val="center"/>
          </w:tcPr>
          <w:p w14:paraId="46F3077D"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w:t>
            </w:r>
          </w:p>
        </w:tc>
      </w:tr>
      <w:tr w:rsidR="00B06B6F" w:rsidRPr="00FC7951" w14:paraId="6B4EABC8" w14:textId="77777777" w:rsidTr="00791B2D">
        <w:trPr>
          <w:trHeight w:val="300"/>
        </w:trPr>
        <w:tc>
          <w:tcPr>
            <w:tcW w:w="1050" w:type="dxa"/>
            <w:vMerge/>
            <w:vAlign w:val="center"/>
          </w:tcPr>
          <w:p w14:paraId="003302B8"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3FFBFA07" w14:textId="77777777" w:rsidR="00B06B6F" w:rsidRPr="00FC7951" w:rsidRDefault="00B06B6F" w:rsidP="00725F19">
            <w:pPr>
              <w:rPr>
                <w:rFonts w:ascii="Times New Roman" w:hAnsi="Times New Roman" w:cs="Times New Roman"/>
                <w:color w:val="000000"/>
              </w:rPr>
            </w:pPr>
          </w:p>
        </w:tc>
        <w:tc>
          <w:tcPr>
            <w:tcW w:w="656" w:type="dxa"/>
            <w:vMerge/>
            <w:vAlign w:val="center"/>
          </w:tcPr>
          <w:p w14:paraId="40B3A653"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4700A6D4"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Долг / EBITDA</w:t>
            </w:r>
          </w:p>
        </w:tc>
        <w:tc>
          <w:tcPr>
            <w:tcW w:w="850" w:type="dxa"/>
            <w:shd w:val="clear" w:color="auto" w:fill="auto"/>
            <w:noWrap/>
            <w:vAlign w:val="center"/>
          </w:tcPr>
          <w:p w14:paraId="7F0CE356"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30%</w:t>
            </w:r>
          </w:p>
        </w:tc>
        <w:tc>
          <w:tcPr>
            <w:tcW w:w="1276" w:type="dxa"/>
            <w:shd w:val="clear" w:color="auto" w:fill="auto"/>
            <w:noWrap/>
            <w:vAlign w:val="center"/>
          </w:tcPr>
          <w:p w14:paraId="2C7A4FA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0,09</w:t>
            </w:r>
          </w:p>
        </w:tc>
      </w:tr>
      <w:tr w:rsidR="00B06B6F" w:rsidRPr="00FC7951" w14:paraId="0A8AC5F9" w14:textId="77777777" w:rsidTr="00791B2D">
        <w:trPr>
          <w:trHeight w:val="300"/>
        </w:trPr>
        <w:tc>
          <w:tcPr>
            <w:tcW w:w="1050" w:type="dxa"/>
            <w:vMerge/>
            <w:vAlign w:val="center"/>
          </w:tcPr>
          <w:p w14:paraId="442109FF" w14:textId="77777777" w:rsidR="00B06B6F" w:rsidRPr="00FC7951" w:rsidRDefault="00B06B6F" w:rsidP="00725F19">
            <w:pPr>
              <w:jc w:val="center"/>
              <w:rPr>
                <w:rFonts w:ascii="Times New Roman" w:hAnsi="Times New Roman" w:cs="Times New Roman"/>
                <w:color w:val="000000"/>
              </w:rPr>
            </w:pPr>
          </w:p>
        </w:tc>
        <w:tc>
          <w:tcPr>
            <w:tcW w:w="3061" w:type="dxa"/>
            <w:vMerge w:val="restart"/>
            <w:shd w:val="clear" w:color="auto" w:fill="auto"/>
          </w:tcPr>
          <w:p w14:paraId="42895CA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2 группа</w:t>
            </w:r>
            <w:r w:rsidRPr="00FC7951">
              <w:rPr>
                <w:rFonts w:ascii="Times New Roman" w:hAnsi="Times New Roman" w:cs="Times New Roman"/>
                <w:color w:val="000000"/>
              </w:rPr>
              <w:t xml:space="preserve"> Коэффициенты, характеризующие операционную деятельность</w:t>
            </w:r>
          </w:p>
        </w:tc>
        <w:tc>
          <w:tcPr>
            <w:tcW w:w="656" w:type="dxa"/>
            <w:vMerge w:val="restart"/>
            <w:shd w:val="clear" w:color="auto" w:fill="auto"/>
            <w:vAlign w:val="center"/>
          </w:tcPr>
          <w:p w14:paraId="2AB4EE9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0,22</w:t>
            </w:r>
          </w:p>
        </w:tc>
        <w:tc>
          <w:tcPr>
            <w:tcW w:w="2463" w:type="dxa"/>
            <w:shd w:val="clear" w:color="auto" w:fill="auto"/>
          </w:tcPr>
          <w:p w14:paraId="7A31712A"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период оборота дебиторской задолженности</w:t>
            </w:r>
          </w:p>
        </w:tc>
        <w:tc>
          <w:tcPr>
            <w:tcW w:w="850" w:type="dxa"/>
            <w:shd w:val="clear" w:color="auto" w:fill="auto"/>
            <w:noWrap/>
            <w:vAlign w:val="center"/>
          </w:tcPr>
          <w:p w14:paraId="55CF4A73"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30%</w:t>
            </w:r>
          </w:p>
        </w:tc>
        <w:tc>
          <w:tcPr>
            <w:tcW w:w="1276" w:type="dxa"/>
            <w:shd w:val="clear" w:color="auto" w:fill="auto"/>
            <w:noWrap/>
            <w:vAlign w:val="center"/>
          </w:tcPr>
          <w:p w14:paraId="0C67F0BA"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0,07</w:t>
            </w:r>
          </w:p>
        </w:tc>
      </w:tr>
      <w:tr w:rsidR="00B06B6F" w:rsidRPr="00FC7951" w14:paraId="6AE63964" w14:textId="77777777" w:rsidTr="00791B2D">
        <w:trPr>
          <w:trHeight w:val="300"/>
        </w:trPr>
        <w:tc>
          <w:tcPr>
            <w:tcW w:w="1050" w:type="dxa"/>
            <w:vMerge/>
            <w:vAlign w:val="center"/>
          </w:tcPr>
          <w:p w14:paraId="08D98FFE"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1D75AF09" w14:textId="77777777" w:rsidR="00B06B6F" w:rsidRPr="00FC7951" w:rsidRDefault="00B06B6F" w:rsidP="00725F19">
            <w:pPr>
              <w:rPr>
                <w:rFonts w:ascii="Times New Roman" w:hAnsi="Times New Roman" w:cs="Times New Roman"/>
                <w:color w:val="000000"/>
              </w:rPr>
            </w:pPr>
          </w:p>
        </w:tc>
        <w:tc>
          <w:tcPr>
            <w:tcW w:w="656" w:type="dxa"/>
            <w:vMerge/>
            <w:vAlign w:val="center"/>
          </w:tcPr>
          <w:p w14:paraId="46C8A2BE"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1A182EE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период оборота кредиторской задолженности</w:t>
            </w:r>
          </w:p>
        </w:tc>
        <w:tc>
          <w:tcPr>
            <w:tcW w:w="850" w:type="dxa"/>
            <w:shd w:val="clear" w:color="auto" w:fill="auto"/>
            <w:noWrap/>
            <w:vAlign w:val="center"/>
          </w:tcPr>
          <w:p w14:paraId="2CCB8877"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70%</w:t>
            </w:r>
          </w:p>
        </w:tc>
        <w:tc>
          <w:tcPr>
            <w:tcW w:w="1276" w:type="dxa"/>
            <w:shd w:val="clear" w:color="auto" w:fill="auto"/>
            <w:noWrap/>
            <w:vAlign w:val="center"/>
          </w:tcPr>
          <w:p w14:paraId="173F1A7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0,15</w:t>
            </w:r>
          </w:p>
        </w:tc>
      </w:tr>
      <w:tr w:rsidR="00B06B6F" w:rsidRPr="00FC7951" w14:paraId="54926175" w14:textId="77777777" w:rsidTr="00791B2D">
        <w:trPr>
          <w:trHeight w:val="300"/>
        </w:trPr>
        <w:tc>
          <w:tcPr>
            <w:tcW w:w="1050" w:type="dxa"/>
            <w:vMerge/>
            <w:vAlign w:val="center"/>
          </w:tcPr>
          <w:p w14:paraId="1D349117" w14:textId="77777777" w:rsidR="00B06B6F" w:rsidRPr="00FC7951" w:rsidRDefault="00B06B6F" w:rsidP="00725F19">
            <w:pPr>
              <w:jc w:val="center"/>
              <w:rPr>
                <w:rFonts w:ascii="Times New Roman" w:hAnsi="Times New Roman" w:cs="Times New Roman"/>
                <w:color w:val="000000"/>
              </w:rPr>
            </w:pPr>
          </w:p>
        </w:tc>
        <w:tc>
          <w:tcPr>
            <w:tcW w:w="3061" w:type="dxa"/>
            <w:vMerge w:val="restart"/>
            <w:shd w:val="clear" w:color="auto" w:fill="auto"/>
          </w:tcPr>
          <w:p w14:paraId="04AED83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3 группа</w:t>
            </w:r>
            <w:r w:rsidRPr="00FC7951">
              <w:rPr>
                <w:rFonts w:ascii="Times New Roman" w:hAnsi="Times New Roman" w:cs="Times New Roman"/>
                <w:color w:val="000000"/>
              </w:rPr>
              <w:t xml:space="preserve"> Коэффициенты, характеризующие ликвидность</w:t>
            </w:r>
          </w:p>
        </w:tc>
        <w:tc>
          <w:tcPr>
            <w:tcW w:w="656" w:type="dxa"/>
            <w:vMerge w:val="restart"/>
            <w:shd w:val="clear" w:color="auto" w:fill="auto"/>
            <w:vAlign w:val="center"/>
          </w:tcPr>
          <w:p w14:paraId="42A9FDBD"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0,13</w:t>
            </w:r>
          </w:p>
        </w:tc>
        <w:tc>
          <w:tcPr>
            <w:tcW w:w="2463" w:type="dxa"/>
            <w:shd w:val="clear" w:color="auto" w:fill="auto"/>
          </w:tcPr>
          <w:p w14:paraId="0E781F3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xml:space="preserve">Абсолютная ликвидность </w:t>
            </w:r>
          </w:p>
        </w:tc>
        <w:tc>
          <w:tcPr>
            <w:tcW w:w="850" w:type="dxa"/>
            <w:shd w:val="clear" w:color="auto" w:fill="auto"/>
            <w:noWrap/>
            <w:vAlign w:val="center"/>
          </w:tcPr>
          <w:p w14:paraId="3153505C"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643EB428"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0,065</w:t>
            </w:r>
          </w:p>
        </w:tc>
      </w:tr>
      <w:tr w:rsidR="00B06B6F" w:rsidRPr="00FC7951" w14:paraId="7462AF01" w14:textId="77777777" w:rsidTr="00791B2D">
        <w:trPr>
          <w:trHeight w:val="900"/>
        </w:trPr>
        <w:tc>
          <w:tcPr>
            <w:tcW w:w="1050" w:type="dxa"/>
            <w:vMerge/>
            <w:vAlign w:val="center"/>
          </w:tcPr>
          <w:p w14:paraId="0EB1BA2C" w14:textId="77777777" w:rsidR="00B06B6F" w:rsidRPr="00FC7951" w:rsidRDefault="00B06B6F" w:rsidP="00725F19">
            <w:pPr>
              <w:jc w:val="center"/>
              <w:rPr>
                <w:rFonts w:ascii="Times New Roman" w:hAnsi="Times New Roman" w:cs="Times New Roman"/>
                <w:color w:val="000000"/>
              </w:rPr>
            </w:pPr>
          </w:p>
        </w:tc>
        <w:tc>
          <w:tcPr>
            <w:tcW w:w="3061" w:type="dxa"/>
            <w:vMerge/>
            <w:vAlign w:val="center"/>
          </w:tcPr>
          <w:p w14:paraId="533FD657" w14:textId="77777777" w:rsidR="00B06B6F" w:rsidRPr="00FC7951" w:rsidRDefault="00B06B6F" w:rsidP="00725F19">
            <w:pPr>
              <w:rPr>
                <w:rFonts w:ascii="Times New Roman" w:hAnsi="Times New Roman" w:cs="Times New Roman"/>
                <w:color w:val="000000"/>
              </w:rPr>
            </w:pPr>
          </w:p>
        </w:tc>
        <w:tc>
          <w:tcPr>
            <w:tcW w:w="656" w:type="dxa"/>
            <w:vMerge/>
            <w:vAlign w:val="center"/>
          </w:tcPr>
          <w:p w14:paraId="530EB5D3"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766240E8"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xml:space="preserve">Покрытие внеоборотных активов долгосрочными источниками финансирования </w:t>
            </w:r>
          </w:p>
        </w:tc>
        <w:tc>
          <w:tcPr>
            <w:tcW w:w="850" w:type="dxa"/>
            <w:shd w:val="clear" w:color="auto" w:fill="auto"/>
            <w:noWrap/>
            <w:vAlign w:val="center"/>
          </w:tcPr>
          <w:p w14:paraId="3260FBA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4DA2AA0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0,065</w:t>
            </w:r>
          </w:p>
        </w:tc>
      </w:tr>
      <w:tr w:rsidR="00B06B6F" w:rsidRPr="00FC7951" w14:paraId="543477B8" w14:textId="77777777" w:rsidTr="00791B2D">
        <w:trPr>
          <w:trHeight w:val="705"/>
        </w:trPr>
        <w:tc>
          <w:tcPr>
            <w:tcW w:w="1050" w:type="dxa"/>
            <w:vMerge w:val="restart"/>
            <w:shd w:val="clear" w:color="auto" w:fill="auto"/>
            <w:textDirection w:val="btLr"/>
            <w:vAlign w:val="center"/>
          </w:tcPr>
          <w:p w14:paraId="08E0A3FD"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lastRenderedPageBreak/>
              <w:t>Группа показателей бизнес-риска</w:t>
            </w:r>
          </w:p>
        </w:tc>
        <w:tc>
          <w:tcPr>
            <w:tcW w:w="3061" w:type="dxa"/>
            <w:vMerge w:val="restart"/>
            <w:shd w:val="clear" w:color="auto" w:fill="auto"/>
          </w:tcPr>
          <w:p w14:paraId="2CFFE6A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4 группа</w:t>
            </w:r>
            <w:r w:rsidRPr="00FC7951">
              <w:rPr>
                <w:rFonts w:ascii="Times New Roman" w:hAnsi="Times New Roman" w:cs="Times New Roman"/>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56" w:type="dxa"/>
            <w:vMerge w:val="restart"/>
            <w:shd w:val="clear" w:color="auto" w:fill="auto"/>
            <w:vAlign w:val="center"/>
          </w:tcPr>
          <w:p w14:paraId="70410C14"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0,38</w:t>
            </w:r>
          </w:p>
        </w:tc>
        <w:tc>
          <w:tcPr>
            <w:tcW w:w="2463" w:type="dxa"/>
            <w:shd w:val="clear" w:color="auto" w:fill="auto"/>
          </w:tcPr>
          <w:p w14:paraId="0A7952E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Выручка</w:t>
            </w:r>
          </w:p>
        </w:tc>
        <w:tc>
          <w:tcPr>
            <w:tcW w:w="850" w:type="dxa"/>
            <w:shd w:val="clear" w:color="auto" w:fill="auto"/>
            <w:noWrap/>
            <w:vAlign w:val="center"/>
          </w:tcPr>
          <w:p w14:paraId="6B6F2B1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22D4AE6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0,19</w:t>
            </w:r>
          </w:p>
        </w:tc>
      </w:tr>
      <w:tr w:rsidR="00B06B6F" w:rsidRPr="00FC7951" w14:paraId="271BB834" w14:textId="77777777" w:rsidTr="00791B2D">
        <w:trPr>
          <w:trHeight w:val="705"/>
        </w:trPr>
        <w:tc>
          <w:tcPr>
            <w:tcW w:w="1050" w:type="dxa"/>
            <w:vMerge/>
            <w:vAlign w:val="center"/>
          </w:tcPr>
          <w:p w14:paraId="7BE1ABCD" w14:textId="77777777" w:rsidR="00B06B6F" w:rsidRPr="00FC7951" w:rsidRDefault="00B06B6F" w:rsidP="00725F19">
            <w:pPr>
              <w:rPr>
                <w:rFonts w:ascii="Times New Roman" w:hAnsi="Times New Roman" w:cs="Times New Roman"/>
                <w:color w:val="000000"/>
              </w:rPr>
            </w:pPr>
          </w:p>
        </w:tc>
        <w:tc>
          <w:tcPr>
            <w:tcW w:w="3061" w:type="dxa"/>
            <w:vMerge/>
            <w:vAlign w:val="center"/>
          </w:tcPr>
          <w:p w14:paraId="1B88CF23" w14:textId="77777777" w:rsidR="00B06B6F" w:rsidRPr="00FC7951" w:rsidRDefault="00B06B6F" w:rsidP="00725F19">
            <w:pPr>
              <w:rPr>
                <w:rFonts w:ascii="Times New Roman" w:hAnsi="Times New Roman" w:cs="Times New Roman"/>
                <w:color w:val="000000"/>
              </w:rPr>
            </w:pPr>
          </w:p>
        </w:tc>
        <w:tc>
          <w:tcPr>
            <w:tcW w:w="656" w:type="dxa"/>
            <w:vMerge/>
            <w:vAlign w:val="center"/>
          </w:tcPr>
          <w:p w14:paraId="6A7F2856" w14:textId="77777777" w:rsidR="00B06B6F" w:rsidRPr="00FC7951" w:rsidRDefault="00B06B6F" w:rsidP="00725F19">
            <w:pPr>
              <w:jc w:val="center"/>
              <w:rPr>
                <w:rFonts w:ascii="Times New Roman" w:hAnsi="Times New Roman" w:cs="Times New Roman"/>
                <w:color w:val="000000"/>
              </w:rPr>
            </w:pPr>
          </w:p>
        </w:tc>
        <w:tc>
          <w:tcPr>
            <w:tcW w:w="2463" w:type="dxa"/>
            <w:shd w:val="clear" w:color="auto" w:fill="auto"/>
          </w:tcPr>
          <w:p w14:paraId="2B3B550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Активы</w:t>
            </w:r>
          </w:p>
        </w:tc>
        <w:tc>
          <w:tcPr>
            <w:tcW w:w="850" w:type="dxa"/>
            <w:shd w:val="clear" w:color="auto" w:fill="auto"/>
            <w:noWrap/>
            <w:vAlign w:val="center"/>
          </w:tcPr>
          <w:p w14:paraId="1E3A4CC2"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50%</w:t>
            </w:r>
          </w:p>
        </w:tc>
        <w:tc>
          <w:tcPr>
            <w:tcW w:w="1276" w:type="dxa"/>
            <w:shd w:val="clear" w:color="auto" w:fill="auto"/>
            <w:noWrap/>
            <w:vAlign w:val="center"/>
          </w:tcPr>
          <w:p w14:paraId="3D9F6613"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0,19</w:t>
            </w:r>
          </w:p>
        </w:tc>
      </w:tr>
      <w:tr w:rsidR="00B06B6F" w:rsidRPr="00FC7951" w14:paraId="09A3C555" w14:textId="77777777" w:rsidTr="00791B2D">
        <w:trPr>
          <w:trHeight w:val="685"/>
        </w:trPr>
        <w:tc>
          <w:tcPr>
            <w:tcW w:w="1050" w:type="dxa"/>
            <w:vMerge/>
            <w:vAlign w:val="center"/>
          </w:tcPr>
          <w:p w14:paraId="6D765970"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7052008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5 группа</w:t>
            </w:r>
            <w:r w:rsidRPr="00FC7951">
              <w:rPr>
                <w:rFonts w:ascii="Times New Roman" w:hAnsi="Times New Roman" w:cs="Times New Roman"/>
                <w:color w:val="000000"/>
              </w:rPr>
              <w:t xml:space="preserve"> Срок существования участника</w:t>
            </w:r>
          </w:p>
        </w:tc>
        <w:tc>
          <w:tcPr>
            <w:tcW w:w="656" w:type="dxa"/>
            <w:shd w:val="clear" w:color="auto" w:fill="auto"/>
            <w:vAlign w:val="center"/>
          </w:tcPr>
          <w:p w14:paraId="14EAB846"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0,18</w:t>
            </w:r>
          </w:p>
        </w:tc>
        <w:tc>
          <w:tcPr>
            <w:tcW w:w="2463" w:type="dxa"/>
            <w:shd w:val="clear" w:color="auto" w:fill="auto"/>
          </w:tcPr>
          <w:p w14:paraId="0BAC13B3" w14:textId="77777777" w:rsidR="00B06B6F" w:rsidRPr="00FC7951" w:rsidRDefault="00B06B6F" w:rsidP="00725F19">
            <w:pPr>
              <w:rPr>
                <w:rFonts w:ascii="Times New Roman" w:hAnsi="Times New Roman" w:cs="Times New Roman"/>
                <w:i/>
                <w:color w:val="000000"/>
              </w:rPr>
            </w:pPr>
          </w:p>
        </w:tc>
        <w:tc>
          <w:tcPr>
            <w:tcW w:w="850" w:type="dxa"/>
            <w:shd w:val="clear" w:color="auto" w:fill="auto"/>
            <w:noWrap/>
            <w:vAlign w:val="center"/>
          </w:tcPr>
          <w:p w14:paraId="637C6B54"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372E6349"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0,18</w:t>
            </w:r>
          </w:p>
        </w:tc>
      </w:tr>
      <w:tr w:rsidR="00B06B6F" w:rsidRPr="00FC7951" w14:paraId="2E8AE99E" w14:textId="77777777" w:rsidTr="00791B2D">
        <w:trPr>
          <w:trHeight w:val="900"/>
        </w:trPr>
        <w:tc>
          <w:tcPr>
            <w:tcW w:w="1050" w:type="dxa"/>
            <w:vMerge/>
            <w:vAlign w:val="center"/>
          </w:tcPr>
          <w:p w14:paraId="6AD6113D"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3160365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6 группа</w:t>
            </w:r>
            <w:r w:rsidRPr="00FC7951">
              <w:rPr>
                <w:rFonts w:ascii="Times New Roman" w:hAnsi="Times New Roman" w:cs="Times New Roman"/>
                <w:color w:val="000000"/>
              </w:rPr>
              <w:t xml:space="preserve"> Финансовые условия сделки</w:t>
            </w:r>
            <w:r w:rsidRPr="00FC7951">
              <w:rPr>
                <w:rFonts w:ascii="Times New Roman" w:hAnsi="Times New Roman" w:cs="Times New Roman"/>
                <w:color w:val="000000"/>
              </w:rPr>
              <w:br/>
              <w:t>- авансовые платежи есть/нет</w:t>
            </w:r>
            <w:r w:rsidRPr="00FC7951">
              <w:rPr>
                <w:rFonts w:ascii="Times New Roman" w:hAnsi="Times New Roman" w:cs="Times New Roman"/>
                <w:color w:val="000000"/>
              </w:rPr>
              <w:br/>
              <w:t>- обеспечение (</w:t>
            </w:r>
            <w:r w:rsidRPr="00FC7951">
              <w:rPr>
                <w:rFonts w:ascii="Times New Roman" w:hAnsi="Times New Roman" w:cs="Times New Roman"/>
              </w:rPr>
              <w:t>независим</w:t>
            </w:r>
            <w:r w:rsidRPr="00FC7951">
              <w:rPr>
                <w:rFonts w:ascii="Times New Roman" w:hAnsi="Times New Roman" w:cs="Times New Roman"/>
                <w:color w:val="000000"/>
              </w:rPr>
              <w:t>ая гарантия)</w:t>
            </w:r>
          </w:p>
        </w:tc>
        <w:tc>
          <w:tcPr>
            <w:tcW w:w="656" w:type="dxa"/>
            <w:shd w:val="clear" w:color="auto" w:fill="auto"/>
            <w:vAlign w:val="center"/>
          </w:tcPr>
          <w:p w14:paraId="53107D4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0,23</w:t>
            </w:r>
          </w:p>
        </w:tc>
        <w:tc>
          <w:tcPr>
            <w:tcW w:w="2463" w:type="dxa"/>
            <w:shd w:val="clear" w:color="auto" w:fill="auto"/>
          </w:tcPr>
          <w:p w14:paraId="3AA3851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850" w:type="dxa"/>
            <w:shd w:val="clear" w:color="auto" w:fill="auto"/>
            <w:noWrap/>
            <w:vAlign w:val="center"/>
          </w:tcPr>
          <w:p w14:paraId="2E363500"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709C12D2"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0,23</w:t>
            </w:r>
          </w:p>
        </w:tc>
      </w:tr>
      <w:tr w:rsidR="00B06B6F" w:rsidRPr="00FC7951" w14:paraId="20DCC16E" w14:textId="77777777" w:rsidTr="00791B2D">
        <w:trPr>
          <w:trHeight w:val="300"/>
        </w:trPr>
        <w:tc>
          <w:tcPr>
            <w:tcW w:w="1050" w:type="dxa"/>
            <w:shd w:val="clear" w:color="auto" w:fill="auto"/>
            <w:textDirection w:val="btLr"/>
            <w:vAlign w:val="bottom"/>
          </w:tcPr>
          <w:p w14:paraId="22311875"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tcPr>
          <w:p w14:paraId="508413F9"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Константа*</w:t>
            </w:r>
          </w:p>
        </w:tc>
        <w:tc>
          <w:tcPr>
            <w:tcW w:w="656" w:type="dxa"/>
            <w:shd w:val="clear" w:color="auto" w:fill="auto"/>
            <w:vAlign w:val="center"/>
          </w:tcPr>
          <w:p w14:paraId="75FF1EA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-0,37</w:t>
            </w:r>
          </w:p>
        </w:tc>
        <w:tc>
          <w:tcPr>
            <w:tcW w:w="2463" w:type="dxa"/>
            <w:shd w:val="clear" w:color="auto" w:fill="auto"/>
          </w:tcPr>
          <w:p w14:paraId="57470B4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850" w:type="dxa"/>
            <w:shd w:val="clear" w:color="auto" w:fill="auto"/>
            <w:noWrap/>
            <w:vAlign w:val="bottom"/>
          </w:tcPr>
          <w:p w14:paraId="5B87DE15"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1276" w:type="dxa"/>
            <w:shd w:val="clear" w:color="auto" w:fill="auto"/>
            <w:noWrap/>
            <w:vAlign w:val="bottom"/>
          </w:tcPr>
          <w:p w14:paraId="065FB62E"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-0,37</w:t>
            </w:r>
          </w:p>
        </w:tc>
      </w:tr>
    </w:tbl>
    <w:p w14:paraId="4FF54DB6" w14:textId="77777777" w:rsidR="00B06B6F" w:rsidRPr="00FC7951" w:rsidRDefault="00B06B6F" w:rsidP="00725F19">
      <w:pPr>
        <w:tabs>
          <w:tab w:val="num" w:pos="1584"/>
        </w:tabs>
        <w:jc w:val="both"/>
        <w:rPr>
          <w:rFonts w:ascii="Times New Roman" w:hAnsi="Times New Roman" w:cs="Times New Roman"/>
          <w:i/>
        </w:rPr>
      </w:pPr>
      <w:r w:rsidRPr="00FC7951">
        <w:rPr>
          <w:rFonts w:ascii="Times New Roman" w:hAnsi="Times New Roman" w:cs="Times New Roman"/>
          <w:i/>
        </w:rPr>
        <w:t xml:space="preserve">*В процессе статистической обработки экспертных мнений и поиска весовых коэффициентов при помощи регрессионного пакета анализа </w:t>
      </w:r>
      <w:r w:rsidRPr="00FC7951">
        <w:rPr>
          <w:rFonts w:ascii="Times New Roman" w:hAnsi="Times New Roman" w:cs="Times New Roman"/>
          <w:i/>
          <w:lang w:val="en-US"/>
        </w:rPr>
        <w:t>MS</w:t>
      </w:r>
      <w:r w:rsidRPr="00FC7951">
        <w:rPr>
          <w:rFonts w:ascii="Times New Roman" w:hAnsi="Times New Roman" w:cs="Times New Roman"/>
          <w:i/>
        </w:rPr>
        <w:t xml:space="preserve"> </w:t>
      </w:r>
      <w:r w:rsidRPr="00FC7951">
        <w:rPr>
          <w:rFonts w:ascii="Times New Roman" w:hAnsi="Times New Roman" w:cs="Times New Roman"/>
          <w:i/>
          <w:lang w:val="en-US"/>
        </w:rPr>
        <w:t>Excel</w:t>
      </w:r>
      <w:r w:rsidRPr="00FC7951">
        <w:rPr>
          <w:rFonts w:ascii="Times New Roman" w:hAnsi="Times New Roman" w:cs="Times New Roman"/>
          <w:i/>
        </w:rPr>
        <w:t xml:space="preserve"> наиболее точное решение было получено при ненулевой константе</w:t>
      </w:r>
    </w:p>
    <w:p w14:paraId="10B3142A" w14:textId="77777777" w:rsidR="00B06B6F" w:rsidRPr="00FC7951" w:rsidRDefault="00B06B6F" w:rsidP="00725F19">
      <w:pPr>
        <w:pStyle w:val="ac"/>
        <w:numPr>
          <w:ilvl w:val="1"/>
          <w:numId w:val="1"/>
        </w:numPr>
        <w:tabs>
          <w:tab w:val="left" w:pos="1134"/>
        </w:tabs>
        <w:spacing w:before="120" w:after="120"/>
        <w:ind w:left="0" w:firstLine="709"/>
        <w:jc w:val="both"/>
      </w:pPr>
      <w:r w:rsidRPr="00FC7951">
        <w:t>Веса для каждой группы показателей определены на основе статистической обработки экспертных мнений о степени значимости финансово-экономических критериев при проведении финансово-экономической экспертизы.</w:t>
      </w:r>
    </w:p>
    <w:p w14:paraId="411948F4" w14:textId="77777777" w:rsidR="00B06B6F" w:rsidRPr="00791B2D" w:rsidRDefault="00B06B6F" w:rsidP="00725F19">
      <w:pPr>
        <w:pStyle w:val="ac"/>
        <w:tabs>
          <w:tab w:val="left" w:pos="1134"/>
        </w:tabs>
        <w:spacing w:before="120" w:after="120"/>
        <w:ind w:left="0" w:firstLine="709"/>
        <w:jc w:val="both"/>
      </w:pPr>
    </w:p>
    <w:p w14:paraId="02108D3D" w14:textId="77777777" w:rsidR="00B06B6F" w:rsidRPr="00791B2D" w:rsidRDefault="00B06B6F" w:rsidP="00725F19">
      <w:pPr>
        <w:pStyle w:val="1"/>
        <w:tabs>
          <w:tab w:val="clear" w:pos="1353"/>
          <w:tab w:val="left" w:pos="1134"/>
        </w:tabs>
        <w:ind w:left="0" w:firstLine="709"/>
      </w:pPr>
      <w:bookmarkStart w:id="26" w:name="_Toc107244336"/>
      <w:bookmarkStart w:id="27" w:name="_Toc107247775"/>
      <w:r w:rsidRPr="00791B2D">
        <w:t>ОТБОРОЧНАЯ СТАДИЯ</w:t>
      </w:r>
      <w:bookmarkEnd w:id="26"/>
      <w:bookmarkEnd w:id="27"/>
      <w:r w:rsidRPr="00791B2D">
        <w:t xml:space="preserve"> </w:t>
      </w:r>
    </w:p>
    <w:p w14:paraId="50071368"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Первичная оценка по шкале от 0 до 1, полученная в результате применения </w:t>
      </w:r>
      <w:proofErr w:type="spellStart"/>
      <w:r w:rsidRPr="00791B2D">
        <w:t>балльно</w:t>
      </w:r>
      <w:proofErr w:type="spellEnd"/>
      <w:r w:rsidRPr="00791B2D">
        <w:t>-весового метода, используется на отборочной стадии для принятия решения о соответствии/несоответствии участника закупочной процедуры требованиям ВНД Общества и/или закупочной документации, в том числе настоящей Методики, а именно участник должен:</w:t>
      </w:r>
    </w:p>
    <w:p w14:paraId="3A806A1B"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обладать достаточной финансовой устойчивостью;</w:t>
      </w:r>
    </w:p>
    <w:p w14:paraId="6B7358CF"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иметь достаточно продолжительную историю существования и релевантный опыт, в оценке с точки зрения финансово-экономических критериев;</w:t>
      </w:r>
    </w:p>
    <w:p w14:paraId="4322F695"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иметь необходимые финансовые ресурсы;</w:t>
      </w:r>
    </w:p>
    <w:p w14:paraId="2F5A95DC"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оценка финансовых условий сделки (наличие/отсутствие аванса, независимой гарантии) должна обеспечить минимизацию принимаемых кредитных рисков.</w:t>
      </w:r>
    </w:p>
    <w:p w14:paraId="4133E9B2" w14:textId="77777777" w:rsidR="00B06B6F" w:rsidRPr="00791B2D" w:rsidRDefault="00B06B6F" w:rsidP="00725F19">
      <w:pPr>
        <w:pStyle w:val="ac"/>
        <w:numPr>
          <w:ilvl w:val="1"/>
          <w:numId w:val="1"/>
        </w:numPr>
        <w:tabs>
          <w:tab w:val="left" w:pos="1134"/>
        </w:tabs>
        <w:spacing w:before="120" w:after="120"/>
        <w:ind w:left="0" w:firstLine="709"/>
        <w:jc w:val="both"/>
      </w:pPr>
      <w:r w:rsidRPr="00791B2D">
        <w:t xml:space="preserve">Настоящей Методикой устанавливается, что предложения участников закупочной процедуры, набравших в результате применения </w:t>
      </w:r>
      <w:proofErr w:type="spellStart"/>
      <w:r w:rsidRPr="00791B2D">
        <w:t>балльно</w:t>
      </w:r>
      <w:proofErr w:type="spellEnd"/>
      <w:r w:rsidRPr="00791B2D">
        <w:t>-весового подхода менее 0,45 баллов по шкале от 0 до 1, должны быть рекомендованы к отклонению на отборочной стадии. Количество баллов от 0,45 до 0.5 соответствует пограничной ситуации, в которой для принятия решения о соответствии / несоответствии в рамках финансово-экономической экспертизы требуется участие Эксперта.</w:t>
      </w:r>
    </w:p>
    <w:p w14:paraId="7F992428" w14:textId="77777777" w:rsidR="00B06B6F" w:rsidRPr="00791B2D" w:rsidRDefault="00B06B6F" w:rsidP="00725F19">
      <w:pPr>
        <w:pStyle w:val="ac"/>
        <w:numPr>
          <w:ilvl w:val="1"/>
          <w:numId w:val="1"/>
        </w:numPr>
        <w:tabs>
          <w:tab w:val="left" w:pos="1134"/>
        </w:tabs>
        <w:spacing w:before="120" w:after="120"/>
        <w:ind w:left="0" w:firstLine="709"/>
        <w:jc w:val="both"/>
      </w:pPr>
      <w:r w:rsidRPr="00791B2D">
        <w:t>Кроме того, для принятия решения о соответствии/несоответствии используется система стоп и риск-факторов. В случае предоставления подписанной и заверенной печатью промежуточной бухгалтерской отчетности (по состоянию на 31.03, 30.06, 30.09 текущего года), которая используется в качестве бухгалтерской отчетности на</w:t>
      </w:r>
      <w:r w:rsidRPr="00FC7951">
        <w:t xml:space="preserve"> </w:t>
      </w:r>
      <w:r w:rsidRPr="00791B2D">
        <w:lastRenderedPageBreak/>
        <w:t xml:space="preserve">последнюю отчетную дату незавершенного финансового года, такая отчетность также используется при расчете стоп и риск-факторов / рассматривается на предмет их наличия. </w:t>
      </w:r>
    </w:p>
    <w:p w14:paraId="310D1236"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b/>
          <w:sz w:val="24"/>
          <w:szCs w:val="24"/>
        </w:rPr>
        <w:t>Стоп-фактор</w:t>
      </w:r>
      <w:r w:rsidRPr="00791B2D">
        <w:rPr>
          <w:rFonts w:ascii="Times New Roman" w:hAnsi="Times New Roman" w:cs="Times New Roman"/>
          <w:sz w:val="24"/>
          <w:szCs w:val="24"/>
        </w:rPr>
        <w:t xml:space="preserve"> – фактор, реализация которого должна являться основанием для отклонения предложения участника закупочной процедуры и принятия решения о несоответствии. В рамках финансово-экономической экспертизы предусмотрены следующие стоп-факторы:</w:t>
      </w:r>
    </w:p>
    <w:p w14:paraId="5D8068DF"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существенное несоответствие масштабов деятельности участника закупочной процедуры сумме закупки (если стоимость предложения, указанная в оферте, в годовом выражении с учетом п. 8.1. более чем в 1,4 раза превышает взвешенную с учетом п. 9.1. годовую выручку участника или более чем в 2,8 раза превосходит его взвешенные с учетом п. 9.1. активы);</w:t>
      </w:r>
    </w:p>
    <w:p w14:paraId="22442940"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отрицательное значение 3-го раздела баланса (капитал и резервы) на последнюю отчетную дату (в том числе незавершенного финансового года);</w:t>
      </w:r>
    </w:p>
    <w:p w14:paraId="2BEF47DB" w14:textId="77777777" w:rsidR="00B06B6F" w:rsidRPr="00791B2D" w:rsidRDefault="00B06B6F" w:rsidP="00725F19">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неудовлетворительное финансовое состояние (если независимо от качественной оценки бизнес-рисков, финансовое состояние участника закупочной процедуры, будучи оценено только по группе финансовых показателей, неудовлетворительно – средняя оценка по группе финансовых показателей меньше 0,2 по шкале от 0 до 1). </w:t>
      </w:r>
    </w:p>
    <w:p w14:paraId="15A45A9A" w14:textId="77777777" w:rsidR="00B06B6F" w:rsidRDefault="00B06B6F" w:rsidP="00791B2D">
      <w:pPr>
        <w:numPr>
          <w:ilvl w:val="0"/>
          <w:numId w:val="12"/>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 xml:space="preserve">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балансовой стоимости активов участника согласно данным бухгалтерской отчетности на последнюю отчетную дату (в том числе незавершенного финансового года) / отсутствие подписанной участником на ЭТП декларации об отсутствии задолженности в размере более </w:t>
      </w:r>
      <w:r w:rsidR="00391929" w:rsidRPr="00791B2D">
        <w:rPr>
          <w:rFonts w:ascii="Times New Roman" w:hAnsi="Times New Roman" w:cs="Times New Roman"/>
          <w:sz w:val="24"/>
          <w:szCs w:val="24"/>
        </w:rPr>
        <w:t>25% валюты баланса для закупок.</w:t>
      </w:r>
    </w:p>
    <w:p w14:paraId="5D3488B4" w14:textId="77777777" w:rsidR="00791B2D" w:rsidRPr="00791B2D" w:rsidRDefault="00791B2D" w:rsidP="00791B2D">
      <w:pPr>
        <w:tabs>
          <w:tab w:val="left" w:pos="1134"/>
        </w:tabs>
        <w:spacing w:after="0" w:line="240" w:lineRule="auto"/>
        <w:jc w:val="both"/>
        <w:rPr>
          <w:rFonts w:ascii="Times New Roman" w:hAnsi="Times New Roman" w:cs="Times New Roman"/>
          <w:sz w:val="24"/>
          <w:szCs w:val="24"/>
        </w:rPr>
      </w:pPr>
    </w:p>
    <w:p w14:paraId="436D5B86" w14:textId="77777777" w:rsidR="00B06B6F" w:rsidRPr="00791B2D" w:rsidRDefault="00B06B6F" w:rsidP="00725F19">
      <w:pPr>
        <w:tabs>
          <w:tab w:val="left" w:pos="1134"/>
        </w:tabs>
        <w:ind w:firstLine="709"/>
        <w:jc w:val="both"/>
        <w:rPr>
          <w:rFonts w:ascii="Times New Roman" w:hAnsi="Times New Roman" w:cs="Times New Roman"/>
          <w:sz w:val="24"/>
          <w:szCs w:val="24"/>
        </w:rPr>
      </w:pPr>
      <w:r w:rsidRPr="00791B2D">
        <w:rPr>
          <w:rFonts w:ascii="Times New Roman" w:hAnsi="Times New Roman" w:cs="Times New Roman"/>
          <w:b/>
          <w:sz w:val="24"/>
          <w:szCs w:val="24"/>
        </w:rPr>
        <w:t>Риск-фактор</w:t>
      </w:r>
      <w:r w:rsidRPr="00791B2D">
        <w:rPr>
          <w:rFonts w:ascii="Times New Roman" w:hAnsi="Times New Roman" w:cs="Times New Roman"/>
          <w:sz w:val="24"/>
          <w:szCs w:val="24"/>
        </w:rPr>
        <w:t xml:space="preserve"> – фактор, реализация которого может являться основанием для понижения Экспертом итоговой оценки. В рамках финансово-экономической экспертизы предусмотрены следующие риск-факторы:</w:t>
      </w:r>
    </w:p>
    <w:p w14:paraId="555D005D"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непокрытый убыток в бухгалтерском балансе на последнюю отчетную дату (в том числе незавершенного финансового года);</w:t>
      </w:r>
    </w:p>
    <w:p w14:paraId="6BE3E412"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убытки на последнюю отчетную дату незавершенного финансового года или по итогам последнего года;</w:t>
      </w:r>
    </w:p>
    <w:p w14:paraId="20B18326"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срок существования участника менее года;</w:t>
      </w:r>
    </w:p>
    <w:p w14:paraId="5500FEFA"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сделка является достаточно крупной для участника закупочной процедуры (если стоимость предложения, указанная в оферте, в годовом выражении с учетом п. 8.1. превышает 80% взвешенной с учетом п. 9.1. годовой выручки участника или более чем в 1,6 раз превосходит взвешенную с учетом п. 9.1. величину его активов);</w:t>
      </w:r>
    </w:p>
    <w:p w14:paraId="2242A32D" w14:textId="77777777" w:rsidR="00B06B6F" w:rsidRPr="00791B2D" w:rsidRDefault="00B06B6F" w:rsidP="00725F19">
      <w:pPr>
        <w:numPr>
          <w:ilvl w:val="0"/>
          <w:numId w:val="13"/>
        </w:numPr>
        <w:tabs>
          <w:tab w:val="left" w:pos="1134"/>
        </w:tabs>
        <w:spacing w:after="0" w:line="240" w:lineRule="auto"/>
        <w:ind w:left="0" w:firstLine="709"/>
        <w:jc w:val="both"/>
        <w:rPr>
          <w:rFonts w:ascii="Times New Roman" w:hAnsi="Times New Roman" w:cs="Times New Roman"/>
          <w:sz w:val="24"/>
          <w:szCs w:val="24"/>
        </w:rPr>
      </w:pPr>
      <w:r w:rsidRPr="00791B2D">
        <w:rPr>
          <w:rFonts w:ascii="Times New Roman" w:hAnsi="Times New Roman" w:cs="Times New Roman"/>
          <w:sz w:val="24"/>
          <w:szCs w:val="24"/>
        </w:rPr>
        <w:t>если договором предусматривается выплата аванса без покрытия независимой гарантией.</w:t>
      </w:r>
      <w:r w:rsidRPr="00791B2D">
        <w:rPr>
          <w:rFonts w:ascii="Times New Roman" w:hAnsi="Times New Roman" w:cs="Times New Roman"/>
          <w:i/>
          <w:sz w:val="24"/>
          <w:szCs w:val="24"/>
        </w:rPr>
        <w:t xml:space="preserve"> </w:t>
      </w:r>
    </w:p>
    <w:p w14:paraId="717AAD77" w14:textId="77777777" w:rsidR="00B06B6F" w:rsidRPr="00791B2D" w:rsidRDefault="00B06B6F" w:rsidP="001746C7">
      <w:pPr>
        <w:tabs>
          <w:tab w:val="left" w:pos="1134"/>
        </w:tabs>
        <w:jc w:val="both"/>
        <w:rPr>
          <w:rFonts w:ascii="Times New Roman" w:hAnsi="Times New Roman" w:cs="Times New Roman"/>
          <w:sz w:val="24"/>
          <w:szCs w:val="24"/>
        </w:rPr>
      </w:pPr>
    </w:p>
    <w:p w14:paraId="0A5DB04F" w14:textId="77777777" w:rsidR="00B06B6F" w:rsidRPr="00791B2D" w:rsidRDefault="00B06B6F" w:rsidP="00725F19">
      <w:pPr>
        <w:pStyle w:val="ac"/>
        <w:numPr>
          <w:ilvl w:val="1"/>
          <w:numId w:val="1"/>
        </w:numPr>
        <w:tabs>
          <w:tab w:val="left" w:pos="1134"/>
        </w:tabs>
        <w:ind w:left="0" w:firstLine="709"/>
        <w:jc w:val="both"/>
      </w:pPr>
      <w:r w:rsidRPr="00791B2D">
        <w:t xml:space="preserve">На основе совместного применения </w:t>
      </w:r>
      <w:proofErr w:type="spellStart"/>
      <w:r w:rsidRPr="00791B2D">
        <w:t>балльно</w:t>
      </w:r>
      <w:proofErr w:type="spellEnd"/>
      <w:r w:rsidRPr="00791B2D">
        <w:t>-весового подхода и системы стоп и риск-факторов по описанному ниже алгоритму принимается решение о прохождении участником отборочной стадии (соответствии / несоответствии)</w:t>
      </w:r>
    </w:p>
    <w:p w14:paraId="474186C3" w14:textId="77777777" w:rsidR="001746C7" w:rsidRDefault="001746C7" w:rsidP="00725F19">
      <w:pPr>
        <w:jc w:val="right"/>
        <w:rPr>
          <w:rFonts w:ascii="Times New Roman" w:hAnsi="Times New Roman" w:cs="Times New Roman"/>
        </w:rPr>
      </w:pPr>
    </w:p>
    <w:p w14:paraId="37DBCC4B" w14:textId="77777777" w:rsidR="001746C7" w:rsidRDefault="001746C7" w:rsidP="00725F19">
      <w:pPr>
        <w:jc w:val="right"/>
        <w:rPr>
          <w:rFonts w:ascii="Times New Roman" w:hAnsi="Times New Roman" w:cs="Times New Roman"/>
        </w:rPr>
      </w:pPr>
    </w:p>
    <w:p w14:paraId="063930D7" w14:textId="77777777" w:rsidR="00B06B6F" w:rsidRPr="00FC7951" w:rsidRDefault="00B06B6F" w:rsidP="00725F19">
      <w:pPr>
        <w:jc w:val="right"/>
        <w:rPr>
          <w:rFonts w:ascii="Times New Roman" w:hAnsi="Times New Roman" w:cs="Times New Roman"/>
        </w:rPr>
      </w:pPr>
      <w:r w:rsidRPr="00FC7951">
        <w:rPr>
          <w:rFonts w:ascii="Times New Roman" w:hAnsi="Times New Roman" w:cs="Times New Roman"/>
        </w:rPr>
        <w:lastRenderedPageBreak/>
        <w:t>Таблица алгоритм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6374"/>
      </w:tblGrid>
      <w:tr w:rsidR="00B06B6F" w:rsidRPr="00FC7951" w14:paraId="656504F2" w14:textId="77777777" w:rsidTr="001746C7">
        <w:trPr>
          <w:trHeight w:val="542"/>
        </w:trPr>
        <w:tc>
          <w:tcPr>
            <w:tcW w:w="2982" w:type="dxa"/>
            <w:shd w:val="clear" w:color="auto" w:fill="auto"/>
            <w:noWrap/>
            <w:vAlign w:val="center"/>
          </w:tcPr>
          <w:p w14:paraId="5B13688B"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Решение о соответствии/несоответствии</w:t>
            </w:r>
          </w:p>
        </w:tc>
        <w:tc>
          <w:tcPr>
            <w:tcW w:w="6374" w:type="dxa"/>
            <w:shd w:val="clear" w:color="auto" w:fill="auto"/>
            <w:noWrap/>
            <w:vAlign w:val="center"/>
          </w:tcPr>
          <w:p w14:paraId="129E7E6E"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Описание</w:t>
            </w:r>
          </w:p>
        </w:tc>
      </w:tr>
      <w:tr w:rsidR="00B06B6F" w:rsidRPr="00FC7951" w14:paraId="66EA60C2" w14:textId="77777777" w:rsidTr="001746C7">
        <w:trPr>
          <w:trHeight w:val="576"/>
        </w:trPr>
        <w:tc>
          <w:tcPr>
            <w:tcW w:w="2982" w:type="dxa"/>
            <w:shd w:val="clear" w:color="000000" w:fill="FFE5E5"/>
            <w:noWrap/>
            <w:vAlign w:val="center"/>
          </w:tcPr>
          <w:p w14:paraId="6F7BA096"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Не соответствует</w:t>
            </w:r>
          </w:p>
        </w:tc>
        <w:tc>
          <w:tcPr>
            <w:tcW w:w="6374" w:type="dxa"/>
            <w:shd w:val="clear" w:color="000000" w:fill="FFE5E5"/>
            <w:noWrap/>
          </w:tcPr>
          <w:p w14:paraId="74CC912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менее 0,45 баллов</w:t>
            </w:r>
            <w:r w:rsidRPr="00FC7951">
              <w:rPr>
                <w:rFonts w:ascii="Times New Roman" w:hAnsi="Times New Roman" w:cs="Times New Roman"/>
                <w:color w:val="000000"/>
              </w:rPr>
              <w:t xml:space="preserve"> (по шкале от 0 до 1) или имеются стоп-факторы</w:t>
            </w:r>
          </w:p>
        </w:tc>
      </w:tr>
      <w:tr w:rsidR="00B06B6F" w:rsidRPr="00FC7951" w14:paraId="5157CA0C" w14:textId="77777777" w:rsidTr="001746C7">
        <w:trPr>
          <w:trHeight w:val="1111"/>
        </w:trPr>
        <w:tc>
          <w:tcPr>
            <w:tcW w:w="2982" w:type="dxa"/>
            <w:shd w:val="clear" w:color="000000" w:fill="F8FFB9"/>
            <w:noWrap/>
            <w:vAlign w:val="center"/>
          </w:tcPr>
          <w:p w14:paraId="488EE498"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Пограничная ситуация (для принятия решения о соответствии/несоответствии требуется участие Эксперта)</w:t>
            </w:r>
          </w:p>
        </w:tc>
        <w:tc>
          <w:tcPr>
            <w:tcW w:w="6374" w:type="dxa"/>
            <w:shd w:val="clear" w:color="000000" w:fill="F8FFB9"/>
            <w:noWrap/>
          </w:tcPr>
          <w:p w14:paraId="2CE46733"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от 0,45 до 0,5 баллов</w:t>
            </w:r>
            <w:r w:rsidRPr="00FC7951">
              <w:rPr>
                <w:rFonts w:ascii="Times New Roman" w:hAnsi="Times New Roman" w:cs="Times New Roman"/>
                <w:color w:val="000000"/>
              </w:rPr>
              <w:t xml:space="preserve"> (по шкале от 0 до 1) или имеется более двух риск-факторов, стоп-факторы при этом отсутствуют</w:t>
            </w:r>
          </w:p>
        </w:tc>
      </w:tr>
      <w:tr w:rsidR="00B06B6F" w:rsidRPr="00FC7951" w14:paraId="791545AD" w14:textId="77777777" w:rsidTr="001746C7">
        <w:trPr>
          <w:trHeight w:val="556"/>
        </w:trPr>
        <w:tc>
          <w:tcPr>
            <w:tcW w:w="2982" w:type="dxa"/>
            <w:shd w:val="clear" w:color="000000" w:fill="C6FED1"/>
            <w:noWrap/>
            <w:vAlign w:val="center"/>
          </w:tcPr>
          <w:p w14:paraId="2FEF02E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Соответствует</w:t>
            </w:r>
          </w:p>
        </w:tc>
        <w:tc>
          <w:tcPr>
            <w:tcW w:w="6374" w:type="dxa"/>
            <w:shd w:val="clear" w:color="000000" w:fill="C6FED1"/>
            <w:noWrap/>
          </w:tcPr>
          <w:p w14:paraId="7F4E4761"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Первичная оценка </w:t>
            </w:r>
            <w:r w:rsidRPr="00FC7951">
              <w:rPr>
                <w:rFonts w:ascii="Times New Roman" w:hAnsi="Times New Roman" w:cs="Times New Roman"/>
                <w:b/>
                <w:color w:val="000000"/>
              </w:rPr>
              <w:t>более 0,5 баллов</w:t>
            </w:r>
            <w:r w:rsidRPr="00FC7951">
              <w:rPr>
                <w:rFonts w:ascii="Times New Roman" w:hAnsi="Times New Roman" w:cs="Times New Roman"/>
                <w:color w:val="000000"/>
              </w:rPr>
              <w:t xml:space="preserve"> (по шкале от 0 до 1), стоп-факторы отсутствуют, имеется не более двух риск-факторов</w:t>
            </w:r>
          </w:p>
        </w:tc>
      </w:tr>
    </w:tbl>
    <w:p w14:paraId="401EFE5A" w14:textId="77777777" w:rsidR="00B06B6F" w:rsidRPr="00FC7951" w:rsidRDefault="00B06B6F" w:rsidP="00725F19">
      <w:pPr>
        <w:jc w:val="both"/>
        <w:rPr>
          <w:rFonts w:ascii="Times New Roman" w:hAnsi="Times New Roman" w:cs="Times New Roman"/>
        </w:rPr>
      </w:pPr>
    </w:p>
    <w:p w14:paraId="001089F5"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По итогам отборочной стадии в рамках финансово-экономической экспертизы должно быть принято решение о соответствии/несоответствии участника закупочной процедуры требованиям ВНД Общества и/или закупочной документации, в том числе настоящей Методики. В случае если на основании применения </w:t>
      </w:r>
      <w:proofErr w:type="spellStart"/>
      <w:r w:rsidRPr="00FC7951">
        <w:t>балльно</w:t>
      </w:r>
      <w:proofErr w:type="spellEnd"/>
      <w:r w:rsidRPr="00FC7951">
        <w:t>-весового подхода и системы стоп и риск-факторов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Экспертом могут быть внесены необходимые корректировки с обоснованием своей позиции в экспертном заключении.</w:t>
      </w:r>
    </w:p>
    <w:p w14:paraId="15892584" w14:textId="77777777" w:rsidR="00B06B6F" w:rsidRDefault="00B06B6F" w:rsidP="00725F19">
      <w:pPr>
        <w:pStyle w:val="ac"/>
        <w:numPr>
          <w:ilvl w:val="1"/>
          <w:numId w:val="1"/>
        </w:numPr>
        <w:tabs>
          <w:tab w:val="left" w:pos="1134"/>
        </w:tabs>
        <w:spacing w:before="120" w:after="120"/>
        <w:ind w:left="0" w:firstLine="709"/>
        <w:jc w:val="both"/>
      </w:pPr>
      <w:r w:rsidRPr="00FC7951">
        <w:t>Подробный порядок применения положений Методики Экспертами на отборочной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Порядок применения положений Методики в отношении индивидуальных предпринимателей определен в разделе 4 приложения 2 к Методике.</w:t>
      </w:r>
    </w:p>
    <w:p w14:paraId="4971048F" w14:textId="77777777" w:rsidR="001746C7" w:rsidRPr="00FC7951" w:rsidRDefault="001746C7" w:rsidP="001746C7">
      <w:pPr>
        <w:pStyle w:val="ac"/>
        <w:tabs>
          <w:tab w:val="left" w:pos="1134"/>
        </w:tabs>
        <w:spacing w:before="120" w:after="120"/>
        <w:ind w:left="709"/>
        <w:jc w:val="both"/>
      </w:pPr>
    </w:p>
    <w:p w14:paraId="0FC8ADA6" w14:textId="77777777" w:rsidR="00B06B6F" w:rsidRPr="00FC7951" w:rsidRDefault="00B06B6F" w:rsidP="00725F19">
      <w:pPr>
        <w:pStyle w:val="1"/>
        <w:tabs>
          <w:tab w:val="clear" w:pos="1353"/>
          <w:tab w:val="left" w:pos="1134"/>
        </w:tabs>
        <w:ind w:left="0" w:firstLine="709"/>
      </w:pPr>
      <w:bookmarkStart w:id="28" w:name="_Toc107244337"/>
      <w:bookmarkStart w:id="29" w:name="_Toc107247776"/>
      <w:r w:rsidRPr="00FC7951">
        <w:t>ОЦЕНОЧНАЯ СТАДИЯ</w:t>
      </w:r>
      <w:bookmarkEnd w:id="28"/>
      <w:bookmarkEnd w:id="29"/>
    </w:p>
    <w:p w14:paraId="20BA7673" w14:textId="77777777" w:rsidR="00B06B6F" w:rsidRPr="00FC7951" w:rsidRDefault="00B06B6F" w:rsidP="00725F19">
      <w:pPr>
        <w:pStyle w:val="ac"/>
        <w:numPr>
          <w:ilvl w:val="1"/>
          <w:numId w:val="1"/>
        </w:numPr>
        <w:tabs>
          <w:tab w:val="left" w:pos="1134"/>
        </w:tabs>
        <w:spacing w:before="120" w:after="120"/>
        <w:ind w:left="0" w:firstLine="709"/>
        <w:jc w:val="both"/>
      </w:pPr>
      <w:r w:rsidRPr="00FC7951">
        <w:t>На оценочной стадии финансово-экономической экспертизы предложения участников закупочной процедуры, прошедших отборочную стадию, ранжируются / получают итоговую оценку с учетом оценки их финансового состояния, качественной оценки бизнес-рисков, а также предлагаемых финансовых условий сделки.</w:t>
      </w:r>
    </w:p>
    <w:p w14:paraId="2C5ED5A6" w14:textId="77777777" w:rsidR="00B06B6F" w:rsidRPr="00FC7951" w:rsidRDefault="00B06B6F" w:rsidP="00725F19">
      <w:pPr>
        <w:pStyle w:val="ac"/>
        <w:numPr>
          <w:ilvl w:val="1"/>
          <w:numId w:val="1"/>
        </w:numPr>
        <w:tabs>
          <w:tab w:val="left" w:pos="1134"/>
        </w:tabs>
        <w:spacing w:before="120" w:after="120"/>
        <w:ind w:left="0" w:firstLine="709"/>
        <w:jc w:val="both"/>
      </w:pPr>
      <w:r w:rsidRPr="00FC7951">
        <w:t xml:space="preserve">В основе количественной меры для сравнения участников закупочной процедуры в рамках финансово-экономической экспертизы, также используется первичный балл от 0 до 1, полученный в результате применения </w:t>
      </w:r>
      <w:proofErr w:type="spellStart"/>
      <w:r w:rsidRPr="00FC7951">
        <w:t>балльно</w:t>
      </w:r>
      <w:proofErr w:type="spellEnd"/>
      <w:r w:rsidRPr="00FC7951">
        <w:t>-весового подхода. Все участники,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 присвоение итоговой оценки осуществляется переводом первичной шкалы от 0 до 1 в шкалу от 0 до 5 (Таблица перевода).</w:t>
      </w:r>
    </w:p>
    <w:p w14:paraId="4D36F9CD" w14:textId="77777777" w:rsidR="00B06B6F" w:rsidRPr="00FC7951" w:rsidRDefault="00B06B6F" w:rsidP="00725F19">
      <w:pPr>
        <w:spacing w:before="120" w:after="120"/>
        <w:jc w:val="right"/>
        <w:rPr>
          <w:rFonts w:ascii="Times New Roman" w:hAnsi="Times New Roman" w:cs="Times New Roman"/>
        </w:rPr>
      </w:pPr>
      <w:r w:rsidRPr="00FC7951">
        <w:rPr>
          <w:rFonts w:ascii="Times New Roman" w:hAnsi="Times New Roman" w:cs="Times New Roman"/>
        </w:rPr>
        <w:t>Таблица перевода</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2122"/>
        <w:gridCol w:w="2976"/>
        <w:gridCol w:w="1406"/>
      </w:tblGrid>
      <w:tr w:rsidR="00B06B6F" w:rsidRPr="00FC7951" w14:paraId="4FB5D4C3" w14:textId="77777777" w:rsidTr="001746C7">
        <w:trPr>
          <w:jc w:val="center"/>
        </w:trPr>
        <w:tc>
          <w:tcPr>
            <w:tcW w:w="2989" w:type="dxa"/>
          </w:tcPr>
          <w:p w14:paraId="511A05AA"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Первичный балл (0-1)</w:t>
            </w:r>
          </w:p>
        </w:tc>
        <w:tc>
          <w:tcPr>
            <w:tcW w:w="2122" w:type="dxa"/>
            <w:vAlign w:val="center"/>
          </w:tcPr>
          <w:p w14:paraId="6E581C94"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менее 0,45</w:t>
            </w:r>
          </w:p>
        </w:tc>
        <w:tc>
          <w:tcPr>
            <w:tcW w:w="2976" w:type="dxa"/>
            <w:vAlign w:val="center"/>
          </w:tcPr>
          <w:p w14:paraId="454D411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от 0,45 до 0,95</w:t>
            </w:r>
          </w:p>
        </w:tc>
        <w:tc>
          <w:tcPr>
            <w:tcW w:w="1406" w:type="dxa"/>
            <w:shd w:val="clear" w:color="auto" w:fill="auto"/>
            <w:vAlign w:val="center"/>
          </w:tcPr>
          <w:p w14:paraId="3FC6FBC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более 0,95</w:t>
            </w:r>
          </w:p>
        </w:tc>
      </w:tr>
      <w:tr w:rsidR="00B06B6F" w:rsidRPr="00FC7951" w14:paraId="3ECC946F" w14:textId="77777777" w:rsidTr="001746C7">
        <w:trPr>
          <w:trHeight w:val="773"/>
          <w:jc w:val="center"/>
        </w:trPr>
        <w:tc>
          <w:tcPr>
            <w:tcW w:w="2989" w:type="dxa"/>
            <w:vAlign w:val="center"/>
          </w:tcPr>
          <w:p w14:paraId="0DB02405"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rPr>
              <w:lastRenderedPageBreak/>
              <w:t>Итоговая оценка (0-5)</w:t>
            </w:r>
          </w:p>
        </w:tc>
        <w:tc>
          <w:tcPr>
            <w:tcW w:w="2122" w:type="dxa"/>
            <w:vAlign w:val="center"/>
          </w:tcPr>
          <w:p w14:paraId="39628BDD"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0</w:t>
            </w:r>
          </w:p>
        </w:tc>
        <w:tc>
          <w:tcPr>
            <w:tcW w:w="2976" w:type="dxa"/>
            <w:vAlign w:val="center"/>
          </w:tcPr>
          <w:p w14:paraId="149C7208" w14:textId="77777777" w:rsidR="00B06B6F" w:rsidRPr="00FC7951" w:rsidRDefault="00B06B6F" w:rsidP="00725F19">
            <w:pPr>
              <w:spacing w:after="60"/>
              <w:jc w:val="center"/>
              <w:rPr>
                <w:rFonts w:ascii="Times New Roman" w:hAnsi="Times New Roman" w:cs="Times New Roman"/>
                <w:bCs/>
              </w:rPr>
            </w:pPr>
            <m:oMathPara>
              <m:oMath>
                <m:r>
                  <w:rPr>
                    <w:rFonts w:ascii="Cambria Math" w:hAnsi="Cambria Math" w:cs="Times New Roman"/>
                    <w:lang w:val="en-US"/>
                  </w:rPr>
                  <m:t>ИО=5*</m:t>
                </m:r>
                <m:sSup>
                  <m:sSupPr>
                    <m:ctrlPr>
                      <w:rPr>
                        <w:rFonts w:ascii="Cambria Math" w:eastAsia="Calibri" w:hAnsi="Cambria Math" w:cs="Times New Roman"/>
                        <w:i/>
                        <w:lang w:val="en-US"/>
                      </w:rPr>
                    </m:ctrlPr>
                  </m:sSupPr>
                  <m:e>
                    <m:f>
                      <m:fPr>
                        <m:ctrlPr>
                          <w:rPr>
                            <w:rFonts w:ascii="Cambria Math" w:eastAsia="Calibri" w:hAnsi="Cambria Math" w:cs="Times New Roman"/>
                            <w:i/>
                            <w:lang w:val="en-US"/>
                          </w:rPr>
                        </m:ctrlPr>
                      </m:fPr>
                      <m:num>
                        <m:r>
                          <w:rPr>
                            <w:rFonts w:ascii="Cambria Math" w:hAnsi="Cambria Math" w:cs="Times New Roman"/>
                            <w:lang w:val="en-US"/>
                          </w:rPr>
                          <m:t>ПБ-0,45</m:t>
                        </m:r>
                      </m:num>
                      <m:den>
                        <m:r>
                          <w:rPr>
                            <w:rFonts w:ascii="Cambria Math" w:hAnsi="Cambria Math" w:cs="Times New Roman"/>
                            <w:lang w:val="en-US"/>
                          </w:rPr>
                          <m:t>0,95-0,45</m:t>
                        </m:r>
                      </m:den>
                    </m:f>
                  </m:e>
                  <m:sup>
                    <m:r>
                      <w:rPr>
                        <w:rFonts w:ascii="Cambria Math" w:hAnsi="Cambria Math" w:cs="Times New Roman"/>
                        <w:lang w:val="en-US"/>
                      </w:rPr>
                      <m:t>*</m:t>
                    </m:r>
                  </m:sup>
                </m:sSup>
              </m:oMath>
            </m:oMathPara>
          </w:p>
        </w:tc>
        <w:tc>
          <w:tcPr>
            <w:tcW w:w="1406" w:type="dxa"/>
            <w:shd w:val="clear" w:color="auto" w:fill="auto"/>
            <w:vAlign w:val="center"/>
          </w:tcPr>
          <w:p w14:paraId="50CF611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5</w:t>
            </w:r>
          </w:p>
        </w:tc>
      </w:tr>
    </w:tbl>
    <w:p w14:paraId="49674170" w14:textId="77777777" w:rsidR="00B06B6F" w:rsidRPr="00FC7951" w:rsidRDefault="00B06B6F" w:rsidP="00725F19">
      <w:pPr>
        <w:spacing w:before="120" w:after="120"/>
        <w:rPr>
          <w:rFonts w:ascii="Times New Roman" w:hAnsi="Times New Roman" w:cs="Times New Roman"/>
          <w:i/>
        </w:rPr>
      </w:pPr>
      <w:r w:rsidRPr="00FC7951">
        <w:rPr>
          <w:rFonts w:ascii="Times New Roman" w:hAnsi="Times New Roman" w:cs="Times New Roman"/>
          <w:i/>
        </w:rPr>
        <w:t>*ИО – итоговая оценка; ПБ – первичный балл. Итоговая оценка округляется с точностью до одного знака после запятой.</w:t>
      </w:r>
    </w:p>
    <w:p w14:paraId="19463ABC" w14:textId="77777777" w:rsidR="00B06B6F" w:rsidRPr="00FC7951" w:rsidRDefault="00B06B6F" w:rsidP="00725F19">
      <w:pPr>
        <w:pStyle w:val="ac"/>
        <w:numPr>
          <w:ilvl w:val="1"/>
          <w:numId w:val="1"/>
        </w:numPr>
        <w:tabs>
          <w:tab w:val="left" w:pos="1134"/>
        </w:tabs>
        <w:spacing w:before="120" w:after="120"/>
        <w:ind w:left="0" w:firstLine="709"/>
        <w:jc w:val="both"/>
      </w:pPr>
      <w:r w:rsidRPr="00FC7951">
        <w:t>Полученная оценка также является мерой кредитного риска применительно к конкретной сделке, а в словесном выражении может быть интерпретирована как указано в таблице:</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4"/>
        <w:gridCol w:w="1287"/>
        <w:gridCol w:w="3260"/>
        <w:gridCol w:w="2495"/>
      </w:tblGrid>
      <w:tr w:rsidR="00B06B6F" w:rsidRPr="00FC7951" w14:paraId="353D45FA" w14:textId="77777777" w:rsidTr="001746C7">
        <w:trPr>
          <w:jc w:val="center"/>
        </w:trPr>
        <w:tc>
          <w:tcPr>
            <w:tcW w:w="2734" w:type="dxa"/>
            <w:tcBorders>
              <w:bottom w:val="single" w:sz="4" w:space="0" w:color="auto"/>
            </w:tcBorders>
          </w:tcPr>
          <w:p w14:paraId="3647F7FE"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Первичный балл (0-1)</w:t>
            </w:r>
          </w:p>
        </w:tc>
        <w:tc>
          <w:tcPr>
            <w:tcW w:w="1287" w:type="dxa"/>
            <w:tcBorders>
              <w:bottom w:val="single" w:sz="4" w:space="0" w:color="auto"/>
            </w:tcBorders>
            <w:vAlign w:val="center"/>
          </w:tcPr>
          <w:p w14:paraId="02019FDF"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Итоговая оценка (0-5)</w:t>
            </w:r>
          </w:p>
        </w:tc>
        <w:tc>
          <w:tcPr>
            <w:tcW w:w="3260" w:type="dxa"/>
            <w:tcBorders>
              <w:bottom w:val="single" w:sz="4" w:space="0" w:color="auto"/>
            </w:tcBorders>
            <w:vAlign w:val="center"/>
          </w:tcPr>
          <w:p w14:paraId="135EE443"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Соответствие Оценки уровню кредитного риска</w:t>
            </w:r>
          </w:p>
        </w:tc>
        <w:tc>
          <w:tcPr>
            <w:tcW w:w="2495" w:type="dxa"/>
            <w:tcBorders>
              <w:bottom w:val="single" w:sz="4" w:space="0" w:color="auto"/>
            </w:tcBorders>
            <w:shd w:val="clear" w:color="auto" w:fill="auto"/>
            <w:vAlign w:val="center"/>
          </w:tcPr>
          <w:p w14:paraId="3A67A54D" w14:textId="77777777" w:rsidR="00B06B6F" w:rsidRPr="00FC7951" w:rsidRDefault="00B06B6F" w:rsidP="00725F19">
            <w:pPr>
              <w:spacing w:after="60"/>
              <w:jc w:val="center"/>
              <w:rPr>
                <w:rFonts w:ascii="Times New Roman" w:hAnsi="Times New Roman" w:cs="Times New Roman"/>
                <w:b/>
              </w:rPr>
            </w:pPr>
            <w:r w:rsidRPr="00FC7951">
              <w:rPr>
                <w:rFonts w:ascii="Times New Roman" w:hAnsi="Times New Roman" w:cs="Times New Roman"/>
                <w:b/>
              </w:rPr>
              <w:t>Интерпретация полученной Оценки</w:t>
            </w:r>
          </w:p>
        </w:tc>
      </w:tr>
      <w:tr w:rsidR="00B06B6F" w:rsidRPr="00FC7951" w14:paraId="2E4985C2" w14:textId="77777777" w:rsidTr="001746C7">
        <w:trPr>
          <w:trHeight w:val="270"/>
          <w:jc w:val="center"/>
        </w:trPr>
        <w:tc>
          <w:tcPr>
            <w:tcW w:w="2734" w:type="dxa"/>
            <w:tcBorders>
              <w:bottom w:val="single" w:sz="4" w:space="0" w:color="auto"/>
            </w:tcBorders>
            <w:shd w:val="clear" w:color="auto" w:fill="FF0000"/>
            <w:vAlign w:val="center"/>
          </w:tcPr>
          <w:p w14:paraId="0AB25AD8"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0-0,45</w:t>
            </w:r>
          </w:p>
        </w:tc>
        <w:tc>
          <w:tcPr>
            <w:tcW w:w="1287" w:type="dxa"/>
            <w:tcBorders>
              <w:bottom w:val="single" w:sz="4" w:space="0" w:color="auto"/>
            </w:tcBorders>
            <w:shd w:val="clear" w:color="auto" w:fill="FF0000"/>
            <w:vAlign w:val="center"/>
          </w:tcPr>
          <w:p w14:paraId="7753CDD5"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w:t>
            </w:r>
          </w:p>
        </w:tc>
        <w:tc>
          <w:tcPr>
            <w:tcW w:w="3260" w:type="dxa"/>
            <w:tcBorders>
              <w:bottom w:val="single" w:sz="4" w:space="0" w:color="auto"/>
            </w:tcBorders>
            <w:shd w:val="clear" w:color="auto" w:fill="FF0000"/>
            <w:vAlign w:val="center"/>
          </w:tcPr>
          <w:p w14:paraId="650C5B83"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rPr>
              <w:t>«Недопустимо высокий</w:t>
            </w:r>
            <w:r w:rsidRPr="00FC7951">
              <w:rPr>
                <w:rFonts w:ascii="Times New Roman" w:hAnsi="Times New Roman" w:cs="Times New Roman"/>
                <w:bCs/>
              </w:rPr>
              <w:t xml:space="preserve"> риск»</w:t>
            </w:r>
          </w:p>
        </w:tc>
        <w:tc>
          <w:tcPr>
            <w:tcW w:w="2495" w:type="dxa"/>
            <w:tcBorders>
              <w:bottom w:val="single" w:sz="4" w:space="0" w:color="auto"/>
            </w:tcBorders>
            <w:shd w:val="clear" w:color="auto" w:fill="FF0000"/>
          </w:tcPr>
          <w:p w14:paraId="261FA99A"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«Неприемлемо»</w:t>
            </w:r>
          </w:p>
          <w:p w14:paraId="27BA39D6"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i/>
              </w:rPr>
              <w:t>(предложение участника рекомендуется отклонить)</w:t>
            </w:r>
          </w:p>
        </w:tc>
      </w:tr>
      <w:tr w:rsidR="00B06B6F" w:rsidRPr="00FC7951" w14:paraId="04B77A85" w14:textId="77777777" w:rsidTr="001746C7">
        <w:trPr>
          <w:trHeight w:val="303"/>
          <w:jc w:val="center"/>
        </w:trPr>
        <w:tc>
          <w:tcPr>
            <w:tcW w:w="2734" w:type="dxa"/>
            <w:tcBorders>
              <w:bottom w:val="single" w:sz="4" w:space="0" w:color="auto"/>
            </w:tcBorders>
            <w:shd w:val="clear" w:color="auto" w:fill="FFFF00"/>
            <w:vAlign w:val="center"/>
          </w:tcPr>
          <w:p w14:paraId="559D3419"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0,45-0,55</w:t>
            </w:r>
          </w:p>
        </w:tc>
        <w:tc>
          <w:tcPr>
            <w:tcW w:w="1287" w:type="dxa"/>
            <w:tcBorders>
              <w:bottom w:val="single" w:sz="4" w:space="0" w:color="auto"/>
            </w:tcBorders>
            <w:shd w:val="clear" w:color="auto" w:fill="FFFF00"/>
            <w:vAlign w:val="center"/>
          </w:tcPr>
          <w:p w14:paraId="0AE48E02"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0-1</w:t>
            </w:r>
          </w:p>
        </w:tc>
        <w:tc>
          <w:tcPr>
            <w:tcW w:w="3260" w:type="dxa"/>
            <w:tcBorders>
              <w:bottom w:val="single" w:sz="4" w:space="0" w:color="auto"/>
            </w:tcBorders>
            <w:shd w:val="clear" w:color="auto" w:fill="FFFF00"/>
            <w:vAlign w:val="center"/>
          </w:tcPr>
          <w:p w14:paraId="7D289DEB"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«Очень высокий</w:t>
            </w:r>
            <w:r w:rsidRPr="00FC7951">
              <w:rPr>
                <w:rFonts w:ascii="Times New Roman" w:hAnsi="Times New Roman" w:cs="Times New Roman"/>
                <w:bCs/>
              </w:rPr>
              <w:t xml:space="preserve"> риск»</w:t>
            </w:r>
          </w:p>
        </w:tc>
        <w:tc>
          <w:tcPr>
            <w:tcW w:w="2495" w:type="dxa"/>
            <w:tcBorders>
              <w:bottom w:val="single" w:sz="4" w:space="0" w:color="auto"/>
            </w:tcBorders>
            <w:shd w:val="clear" w:color="auto" w:fill="FFFF00"/>
          </w:tcPr>
          <w:p w14:paraId="1A3F2D3F"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«Минимально приемлемо»</w:t>
            </w:r>
          </w:p>
        </w:tc>
      </w:tr>
      <w:tr w:rsidR="00B06B6F" w:rsidRPr="00FC7951" w14:paraId="0E59217A" w14:textId="77777777" w:rsidTr="001746C7">
        <w:trPr>
          <w:trHeight w:val="252"/>
          <w:jc w:val="center"/>
        </w:trPr>
        <w:tc>
          <w:tcPr>
            <w:tcW w:w="2734" w:type="dxa"/>
            <w:tcBorders>
              <w:bottom w:val="single" w:sz="4" w:space="0" w:color="auto"/>
            </w:tcBorders>
            <w:shd w:val="clear" w:color="auto" w:fill="FFFF00"/>
            <w:vAlign w:val="center"/>
          </w:tcPr>
          <w:p w14:paraId="0DE3EF60"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0,55-0,65</w:t>
            </w:r>
          </w:p>
        </w:tc>
        <w:tc>
          <w:tcPr>
            <w:tcW w:w="1287" w:type="dxa"/>
            <w:tcBorders>
              <w:bottom w:val="single" w:sz="4" w:space="0" w:color="auto"/>
            </w:tcBorders>
            <w:shd w:val="clear" w:color="auto" w:fill="FFFF00"/>
            <w:vAlign w:val="center"/>
          </w:tcPr>
          <w:p w14:paraId="7C62EC0B"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1-2</w:t>
            </w:r>
          </w:p>
        </w:tc>
        <w:tc>
          <w:tcPr>
            <w:tcW w:w="3260" w:type="dxa"/>
            <w:tcBorders>
              <w:bottom w:val="single" w:sz="4" w:space="0" w:color="auto"/>
            </w:tcBorders>
            <w:shd w:val="clear" w:color="auto" w:fill="FFFF00"/>
            <w:vAlign w:val="center"/>
          </w:tcPr>
          <w:p w14:paraId="7A066EB5"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rPr>
              <w:t>«</w:t>
            </w:r>
            <w:r w:rsidRPr="00FC7951">
              <w:rPr>
                <w:rFonts w:ascii="Times New Roman" w:hAnsi="Times New Roman" w:cs="Times New Roman"/>
                <w:bCs/>
              </w:rPr>
              <w:t>Повышенный риск»</w:t>
            </w:r>
          </w:p>
        </w:tc>
        <w:tc>
          <w:tcPr>
            <w:tcW w:w="2495" w:type="dxa"/>
            <w:tcBorders>
              <w:bottom w:val="single" w:sz="4" w:space="0" w:color="auto"/>
            </w:tcBorders>
            <w:shd w:val="clear" w:color="auto" w:fill="FFFF00"/>
          </w:tcPr>
          <w:p w14:paraId="63D21AC0"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«Удовлетворительно»</w:t>
            </w:r>
          </w:p>
        </w:tc>
      </w:tr>
      <w:tr w:rsidR="00B06B6F" w:rsidRPr="00FC7951" w14:paraId="5572A7BD" w14:textId="77777777" w:rsidTr="001746C7">
        <w:trPr>
          <w:jc w:val="center"/>
        </w:trPr>
        <w:tc>
          <w:tcPr>
            <w:tcW w:w="2734" w:type="dxa"/>
            <w:shd w:val="clear" w:color="auto" w:fill="92D050"/>
            <w:vAlign w:val="center"/>
          </w:tcPr>
          <w:p w14:paraId="0C66041D"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0,65-0,75</w:t>
            </w:r>
          </w:p>
        </w:tc>
        <w:tc>
          <w:tcPr>
            <w:tcW w:w="1287" w:type="dxa"/>
            <w:shd w:val="clear" w:color="auto" w:fill="92D050"/>
            <w:vAlign w:val="center"/>
          </w:tcPr>
          <w:p w14:paraId="40B88841"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2-3</w:t>
            </w:r>
          </w:p>
        </w:tc>
        <w:tc>
          <w:tcPr>
            <w:tcW w:w="3260" w:type="dxa"/>
            <w:shd w:val="clear" w:color="auto" w:fill="92D050"/>
            <w:vAlign w:val="center"/>
          </w:tcPr>
          <w:p w14:paraId="024FF68A"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«Вполне приемлемый риск</w:t>
            </w:r>
          </w:p>
        </w:tc>
        <w:tc>
          <w:tcPr>
            <w:tcW w:w="2495" w:type="dxa"/>
            <w:shd w:val="clear" w:color="auto" w:fill="92D050"/>
          </w:tcPr>
          <w:p w14:paraId="50B1C634"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«Хорошо»</w:t>
            </w:r>
          </w:p>
          <w:p w14:paraId="4F0D89F7"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i/>
              </w:rPr>
              <w:t>(финансовое состояние соответствует требованиям ВНД Общества и/или закупочной документации)</w:t>
            </w:r>
          </w:p>
        </w:tc>
      </w:tr>
      <w:tr w:rsidR="00B06B6F" w:rsidRPr="00FC7951" w14:paraId="3CAE9696" w14:textId="77777777" w:rsidTr="001746C7">
        <w:trPr>
          <w:trHeight w:val="155"/>
          <w:jc w:val="center"/>
        </w:trPr>
        <w:tc>
          <w:tcPr>
            <w:tcW w:w="2734" w:type="dxa"/>
            <w:shd w:val="clear" w:color="auto" w:fill="92D050"/>
            <w:vAlign w:val="center"/>
          </w:tcPr>
          <w:p w14:paraId="2A99E3CA"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0,75-0,85</w:t>
            </w:r>
          </w:p>
        </w:tc>
        <w:tc>
          <w:tcPr>
            <w:tcW w:w="1287" w:type="dxa"/>
            <w:shd w:val="clear" w:color="auto" w:fill="92D050"/>
            <w:vAlign w:val="center"/>
          </w:tcPr>
          <w:p w14:paraId="6CC485F6"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3-4</w:t>
            </w:r>
          </w:p>
        </w:tc>
        <w:tc>
          <w:tcPr>
            <w:tcW w:w="3260" w:type="dxa"/>
            <w:shd w:val="clear" w:color="auto" w:fill="92D050"/>
            <w:vAlign w:val="center"/>
          </w:tcPr>
          <w:p w14:paraId="4A541671" w14:textId="77777777" w:rsidR="00B06B6F" w:rsidRPr="00FC7951" w:rsidRDefault="00B06B6F" w:rsidP="00725F19">
            <w:pPr>
              <w:spacing w:after="60"/>
              <w:jc w:val="center"/>
              <w:rPr>
                <w:rFonts w:ascii="Times New Roman" w:hAnsi="Times New Roman" w:cs="Times New Roman"/>
                <w:bCs/>
              </w:rPr>
            </w:pPr>
            <w:r w:rsidRPr="00FC7951">
              <w:rPr>
                <w:rFonts w:ascii="Times New Roman" w:hAnsi="Times New Roman" w:cs="Times New Roman"/>
                <w:bCs/>
              </w:rPr>
              <w:t>«Приемлемый риск»</w:t>
            </w:r>
          </w:p>
        </w:tc>
        <w:tc>
          <w:tcPr>
            <w:tcW w:w="2495" w:type="dxa"/>
            <w:shd w:val="clear" w:color="auto" w:fill="92D050"/>
          </w:tcPr>
          <w:p w14:paraId="16EDD26E" w14:textId="77777777" w:rsidR="00B06B6F" w:rsidRPr="00FC7951" w:rsidRDefault="00B06B6F" w:rsidP="00725F19">
            <w:pPr>
              <w:spacing w:after="60"/>
              <w:jc w:val="center"/>
              <w:rPr>
                <w:rFonts w:ascii="Times New Roman" w:hAnsi="Times New Roman" w:cs="Times New Roman"/>
              </w:rPr>
            </w:pPr>
            <w:r w:rsidRPr="00FC7951">
              <w:rPr>
                <w:rFonts w:ascii="Times New Roman" w:hAnsi="Times New Roman" w:cs="Times New Roman"/>
              </w:rPr>
              <w:t>«Очень хорошо»</w:t>
            </w:r>
          </w:p>
        </w:tc>
      </w:tr>
      <w:tr w:rsidR="00B06B6F" w:rsidRPr="00FC7951" w14:paraId="29944C4D" w14:textId="77777777" w:rsidTr="001746C7">
        <w:trPr>
          <w:jc w:val="center"/>
        </w:trPr>
        <w:tc>
          <w:tcPr>
            <w:tcW w:w="2734" w:type="dxa"/>
            <w:shd w:val="clear" w:color="auto" w:fill="92D050"/>
            <w:vAlign w:val="center"/>
          </w:tcPr>
          <w:p w14:paraId="10D3BD0E" w14:textId="77777777" w:rsidR="00B06B6F" w:rsidRPr="00FC7951" w:rsidRDefault="00B06B6F" w:rsidP="00725F19">
            <w:pPr>
              <w:spacing w:after="60"/>
              <w:jc w:val="center"/>
              <w:rPr>
                <w:rFonts w:ascii="Times New Roman" w:hAnsi="Times New Roman" w:cs="Times New Roman"/>
                <w:b/>
                <w:bCs/>
              </w:rPr>
            </w:pPr>
            <w:r w:rsidRPr="00FC7951">
              <w:rPr>
                <w:rFonts w:ascii="Times New Roman" w:hAnsi="Times New Roman" w:cs="Times New Roman"/>
                <w:b/>
                <w:bCs/>
              </w:rPr>
              <w:t>не менее 0,85-1</w:t>
            </w:r>
          </w:p>
        </w:tc>
        <w:tc>
          <w:tcPr>
            <w:tcW w:w="1287" w:type="dxa"/>
            <w:shd w:val="clear" w:color="auto" w:fill="92D050"/>
            <w:vAlign w:val="center"/>
          </w:tcPr>
          <w:p w14:paraId="26087D48" w14:textId="77777777" w:rsidR="00B06B6F" w:rsidRPr="00FC7951" w:rsidRDefault="00B06B6F" w:rsidP="00725F19">
            <w:pPr>
              <w:keepNext/>
              <w:spacing w:after="60"/>
              <w:jc w:val="center"/>
              <w:rPr>
                <w:rFonts w:ascii="Times New Roman" w:hAnsi="Times New Roman" w:cs="Times New Roman"/>
                <w:b/>
                <w:bCs/>
              </w:rPr>
            </w:pPr>
            <w:r w:rsidRPr="00FC7951">
              <w:rPr>
                <w:rFonts w:ascii="Times New Roman" w:hAnsi="Times New Roman" w:cs="Times New Roman"/>
                <w:b/>
                <w:bCs/>
              </w:rPr>
              <w:t>4-5</w:t>
            </w:r>
          </w:p>
        </w:tc>
        <w:tc>
          <w:tcPr>
            <w:tcW w:w="3260" w:type="dxa"/>
            <w:shd w:val="clear" w:color="auto" w:fill="92D050"/>
            <w:vAlign w:val="center"/>
          </w:tcPr>
          <w:p w14:paraId="2EBAF9AA" w14:textId="77777777" w:rsidR="00B06B6F" w:rsidRPr="00FC7951" w:rsidRDefault="00B06B6F" w:rsidP="00725F19">
            <w:pPr>
              <w:keepNext/>
              <w:spacing w:after="60"/>
              <w:jc w:val="center"/>
              <w:rPr>
                <w:rFonts w:ascii="Times New Roman" w:hAnsi="Times New Roman" w:cs="Times New Roman"/>
                <w:bCs/>
              </w:rPr>
            </w:pPr>
            <w:r w:rsidRPr="00FC7951">
              <w:rPr>
                <w:rFonts w:ascii="Times New Roman" w:hAnsi="Times New Roman" w:cs="Times New Roman"/>
                <w:bCs/>
              </w:rPr>
              <w:t>«Минимальный риск»</w:t>
            </w:r>
          </w:p>
        </w:tc>
        <w:tc>
          <w:tcPr>
            <w:tcW w:w="2495" w:type="dxa"/>
            <w:shd w:val="clear" w:color="auto" w:fill="92D050"/>
          </w:tcPr>
          <w:p w14:paraId="5608C5AC" w14:textId="77777777" w:rsidR="00B06B6F" w:rsidRPr="00FC7951" w:rsidRDefault="00B06B6F" w:rsidP="00725F19">
            <w:pPr>
              <w:keepNext/>
              <w:spacing w:after="60"/>
              <w:jc w:val="center"/>
              <w:rPr>
                <w:rFonts w:ascii="Times New Roman" w:hAnsi="Times New Roman" w:cs="Times New Roman"/>
              </w:rPr>
            </w:pPr>
            <w:r w:rsidRPr="00FC7951">
              <w:rPr>
                <w:rFonts w:ascii="Times New Roman" w:hAnsi="Times New Roman" w:cs="Times New Roman"/>
              </w:rPr>
              <w:t>«Отлично»</w:t>
            </w:r>
          </w:p>
        </w:tc>
      </w:tr>
    </w:tbl>
    <w:p w14:paraId="393FE045" w14:textId="77777777" w:rsidR="00B06B6F" w:rsidRPr="001746C7" w:rsidRDefault="00B06B6F" w:rsidP="00725F19">
      <w:pPr>
        <w:pStyle w:val="ac"/>
        <w:numPr>
          <w:ilvl w:val="1"/>
          <w:numId w:val="1"/>
        </w:numPr>
        <w:tabs>
          <w:tab w:val="left" w:pos="1134"/>
        </w:tabs>
        <w:spacing w:before="120" w:after="120"/>
        <w:ind w:left="0" w:firstLine="709"/>
        <w:jc w:val="both"/>
      </w:pPr>
      <w:r w:rsidRPr="00FC7951">
        <w:t>Подробный порядок применения положений Методики Экспертами на оценочной стадии определен в соответствующих разделах приложения 2 к Методике «Алгоритм действия Эксперта при подготовке заключения по направлению финансово-экономической экспертизы с использованием шаблона «Финэкспертиза.xls». Порядок применения положений Методики в отношении индивидуальных предпринимателей определен в разделе 4 приложения 2 к Методике.</w:t>
      </w:r>
    </w:p>
    <w:p w14:paraId="628B76AE" w14:textId="77777777" w:rsidR="00B06B6F" w:rsidRPr="00FC7951" w:rsidRDefault="00B06B6F" w:rsidP="00725F19">
      <w:pPr>
        <w:pStyle w:val="1"/>
        <w:tabs>
          <w:tab w:val="clear" w:pos="1353"/>
          <w:tab w:val="left" w:pos="1134"/>
        </w:tabs>
        <w:ind w:left="0" w:firstLine="709"/>
      </w:pPr>
      <w:bookmarkStart w:id="30" w:name="_Toc107244338"/>
      <w:bookmarkStart w:id="31" w:name="_Toc107247777"/>
      <w:r w:rsidRPr="00FC7951">
        <w:t>НОРМАТИВНЫЕ ССЫЛКИ</w:t>
      </w:r>
      <w:r w:rsidRPr="00FC7951">
        <w:rPr>
          <w:rStyle w:val="af7"/>
          <w:b w:val="0"/>
        </w:rPr>
        <w:footnoteReference w:id="2"/>
      </w:r>
      <w:bookmarkEnd w:id="30"/>
      <w:bookmarkEnd w:id="31"/>
    </w:p>
    <w:p w14:paraId="1B54D338" w14:textId="77777777" w:rsidR="00B06B6F" w:rsidRPr="00FC7951" w:rsidRDefault="00B06B6F" w:rsidP="00725F19">
      <w:pPr>
        <w:pStyle w:val="m3"/>
        <w:numPr>
          <w:ilvl w:val="2"/>
          <w:numId w:val="1"/>
        </w:numPr>
        <w:ind w:left="851" w:hanging="851"/>
      </w:pPr>
      <w:proofErr w:type="spellStart"/>
      <w:r w:rsidRPr="00FC7951">
        <w:t>Внешние</w:t>
      </w:r>
      <w:proofErr w:type="spellEnd"/>
      <w:r w:rsidRPr="00FC7951">
        <w:t xml:space="preserve"> </w:t>
      </w:r>
      <w:proofErr w:type="spellStart"/>
      <w:r w:rsidRPr="00FC7951">
        <w:t>нормативные</w:t>
      </w:r>
      <w:proofErr w:type="spellEnd"/>
      <w:r w:rsidRPr="00FC7951">
        <w:t xml:space="preserve"> </w:t>
      </w:r>
      <w:proofErr w:type="spellStart"/>
      <w:r w:rsidRPr="00FC7951">
        <w:t>документы</w:t>
      </w:r>
      <w:proofErr w:type="spellEnd"/>
    </w:p>
    <w:tbl>
      <w:tblPr>
        <w:tblW w:w="1006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360"/>
        <w:gridCol w:w="3013"/>
        <w:gridCol w:w="6687"/>
      </w:tblGrid>
      <w:tr w:rsidR="00B06B6F" w:rsidRPr="00FC7951" w14:paraId="00DC0289" w14:textId="77777777" w:rsidTr="00FC7951">
        <w:trPr>
          <w:cantSplit/>
          <w:tblHeader/>
        </w:trPr>
        <w:tc>
          <w:tcPr>
            <w:tcW w:w="360" w:type="dxa"/>
            <w:shd w:val="clear" w:color="auto" w:fill="D9D9D9"/>
            <w:vAlign w:val="center"/>
          </w:tcPr>
          <w:p w14:paraId="2037D54D" w14:textId="77777777" w:rsidR="00B06B6F" w:rsidRPr="00FC7951" w:rsidRDefault="00B06B6F" w:rsidP="00725F19">
            <w:pPr>
              <w:pStyle w:val="m5"/>
            </w:pPr>
            <w:r w:rsidRPr="00FC7951">
              <w:t>№ п/п</w:t>
            </w:r>
          </w:p>
        </w:tc>
        <w:tc>
          <w:tcPr>
            <w:tcW w:w="3013" w:type="dxa"/>
            <w:shd w:val="clear" w:color="auto" w:fill="D9D9D9"/>
            <w:vAlign w:val="center"/>
          </w:tcPr>
          <w:p w14:paraId="18FEA92A" w14:textId="77777777" w:rsidR="00B06B6F" w:rsidRPr="00FC7951" w:rsidRDefault="00B06B6F" w:rsidP="00725F19">
            <w:pPr>
              <w:pStyle w:val="m5"/>
            </w:pPr>
            <w:r w:rsidRPr="00FC7951">
              <w:t>Номер и Дата документа</w:t>
            </w:r>
          </w:p>
        </w:tc>
        <w:tc>
          <w:tcPr>
            <w:tcW w:w="6687" w:type="dxa"/>
            <w:shd w:val="clear" w:color="auto" w:fill="D9D9D9"/>
            <w:vAlign w:val="center"/>
          </w:tcPr>
          <w:p w14:paraId="7CAC80F4" w14:textId="77777777" w:rsidR="00B06B6F" w:rsidRPr="00FC7951" w:rsidRDefault="00B06B6F" w:rsidP="00725F19">
            <w:pPr>
              <w:pStyle w:val="m5"/>
            </w:pPr>
            <w:r w:rsidRPr="00FC7951">
              <w:t>Наименование документа</w:t>
            </w:r>
          </w:p>
        </w:tc>
      </w:tr>
      <w:tr w:rsidR="00B06B6F" w:rsidRPr="00FC7951" w14:paraId="357D83D3" w14:textId="77777777" w:rsidTr="00FC7951">
        <w:trPr>
          <w:cantSplit/>
          <w:trHeight w:val="284"/>
        </w:trPr>
        <w:tc>
          <w:tcPr>
            <w:tcW w:w="360" w:type="dxa"/>
            <w:vAlign w:val="center"/>
          </w:tcPr>
          <w:p w14:paraId="1359F8D8" w14:textId="77777777" w:rsidR="00B06B6F" w:rsidRPr="00FC7951" w:rsidRDefault="00B06B6F" w:rsidP="00725F19">
            <w:pPr>
              <w:pStyle w:val="m0"/>
              <w:jc w:val="center"/>
            </w:pPr>
            <w:r w:rsidRPr="00FC7951">
              <w:t>1</w:t>
            </w:r>
          </w:p>
        </w:tc>
        <w:tc>
          <w:tcPr>
            <w:tcW w:w="3013" w:type="dxa"/>
            <w:vAlign w:val="center"/>
          </w:tcPr>
          <w:p w14:paraId="7DAC3D59" w14:textId="77777777" w:rsidR="00B06B6F" w:rsidRPr="00FC7951" w:rsidRDefault="00B06B6F" w:rsidP="00725F19">
            <w:pPr>
              <w:pStyle w:val="m0"/>
            </w:pPr>
            <w:r w:rsidRPr="00FC7951">
              <w:t>-</w:t>
            </w:r>
          </w:p>
        </w:tc>
        <w:tc>
          <w:tcPr>
            <w:tcW w:w="6687" w:type="dxa"/>
            <w:vAlign w:val="center"/>
          </w:tcPr>
          <w:p w14:paraId="53BA8497" w14:textId="77777777" w:rsidR="00B06B6F" w:rsidRPr="00FC7951" w:rsidRDefault="00B06B6F" w:rsidP="00725F19">
            <w:pPr>
              <w:pStyle w:val="m0"/>
            </w:pPr>
            <w:r w:rsidRPr="00FC7951">
              <w:t>-</w:t>
            </w:r>
          </w:p>
        </w:tc>
      </w:tr>
    </w:tbl>
    <w:p w14:paraId="2B370FDE" w14:textId="77777777" w:rsidR="00B06B6F" w:rsidRPr="00FC7951" w:rsidRDefault="00B06B6F" w:rsidP="00725F19">
      <w:pPr>
        <w:pStyle w:val="ac"/>
        <w:keepNext/>
        <w:tabs>
          <w:tab w:val="left" w:pos="510"/>
        </w:tabs>
        <w:ind w:left="0"/>
        <w:contextualSpacing w:val="0"/>
        <w:jc w:val="both"/>
        <w:rPr>
          <w:b/>
        </w:rPr>
      </w:pPr>
    </w:p>
    <w:p w14:paraId="7A6885CC" w14:textId="77777777" w:rsidR="00B06B6F" w:rsidRPr="00FC7951" w:rsidRDefault="00B06B6F" w:rsidP="00725F19">
      <w:pPr>
        <w:pStyle w:val="ac"/>
        <w:keepNext/>
        <w:tabs>
          <w:tab w:val="left" w:pos="510"/>
        </w:tabs>
        <w:ind w:left="0"/>
        <w:contextualSpacing w:val="0"/>
        <w:jc w:val="both"/>
        <w:rPr>
          <w:b/>
          <w:vanish/>
        </w:rPr>
      </w:pPr>
    </w:p>
    <w:p w14:paraId="16E1CE42" w14:textId="77777777" w:rsidR="00B06B6F" w:rsidRPr="00FC7951" w:rsidRDefault="00B06B6F" w:rsidP="00725F19">
      <w:pPr>
        <w:pStyle w:val="m3"/>
        <w:numPr>
          <w:ilvl w:val="2"/>
          <w:numId w:val="1"/>
        </w:numPr>
        <w:ind w:left="851" w:hanging="851"/>
        <w:rPr>
          <w:lang w:val="ru-RU"/>
        </w:rPr>
      </w:pPr>
      <w:r w:rsidRPr="00FC7951">
        <w:rPr>
          <w:lang w:val="ru-RU"/>
        </w:rPr>
        <w:t>Внутренние нормативные и организационно-распорядительные документы</w:t>
      </w:r>
    </w:p>
    <w:tbl>
      <w:tblPr>
        <w:tblW w:w="9498" w:type="dxa"/>
        <w:tblInd w:w="-14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504"/>
        <w:gridCol w:w="2473"/>
        <w:gridCol w:w="6521"/>
      </w:tblGrid>
      <w:tr w:rsidR="00B06B6F" w:rsidRPr="00FC7951" w14:paraId="315937E1" w14:textId="77777777" w:rsidTr="0041278C">
        <w:trPr>
          <w:cantSplit/>
          <w:tblHeader/>
        </w:trPr>
        <w:tc>
          <w:tcPr>
            <w:tcW w:w="504" w:type="dxa"/>
            <w:shd w:val="clear" w:color="auto" w:fill="D9D9D9"/>
            <w:vAlign w:val="center"/>
          </w:tcPr>
          <w:p w14:paraId="6FB28A39" w14:textId="77777777" w:rsidR="00B06B6F" w:rsidRPr="00FC7951" w:rsidRDefault="00B06B6F" w:rsidP="00725F19">
            <w:pPr>
              <w:pStyle w:val="m5"/>
            </w:pPr>
            <w:r w:rsidRPr="00FC7951">
              <w:lastRenderedPageBreak/>
              <w:t>№ п/п</w:t>
            </w:r>
          </w:p>
        </w:tc>
        <w:tc>
          <w:tcPr>
            <w:tcW w:w="2473" w:type="dxa"/>
            <w:shd w:val="clear" w:color="auto" w:fill="D9D9D9"/>
            <w:vAlign w:val="center"/>
          </w:tcPr>
          <w:p w14:paraId="2F6D9B27" w14:textId="77777777" w:rsidR="00B06B6F" w:rsidRPr="00FC7951" w:rsidRDefault="00B06B6F" w:rsidP="00725F19">
            <w:pPr>
              <w:pStyle w:val="m5"/>
            </w:pPr>
            <w:r w:rsidRPr="00FC7951">
              <w:t>Номер ВНД или Номер ОРД,</w:t>
            </w:r>
          </w:p>
          <w:p w14:paraId="1AE5F71E" w14:textId="77777777" w:rsidR="00B06B6F" w:rsidRPr="00FC7951" w:rsidRDefault="00B06B6F" w:rsidP="00725F19">
            <w:pPr>
              <w:pStyle w:val="m5"/>
            </w:pPr>
            <w:r w:rsidRPr="00FC7951">
              <w:t>Дата ОРД</w:t>
            </w:r>
          </w:p>
        </w:tc>
        <w:tc>
          <w:tcPr>
            <w:tcW w:w="6521" w:type="dxa"/>
            <w:shd w:val="clear" w:color="auto" w:fill="D9D9D9"/>
            <w:vAlign w:val="center"/>
          </w:tcPr>
          <w:p w14:paraId="03460C79" w14:textId="77777777" w:rsidR="00B06B6F" w:rsidRPr="00FC7951" w:rsidRDefault="00B06B6F" w:rsidP="00725F19">
            <w:pPr>
              <w:pStyle w:val="m5"/>
            </w:pPr>
            <w:r w:rsidRPr="00FC7951">
              <w:t>Наименование документа</w:t>
            </w:r>
          </w:p>
        </w:tc>
      </w:tr>
      <w:tr w:rsidR="00B06B6F" w:rsidRPr="00FC7951" w14:paraId="12E2A97D" w14:textId="77777777" w:rsidTr="0041278C">
        <w:trPr>
          <w:cantSplit/>
          <w:trHeight w:val="284"/>
        </w:trPr>
        <w:tc>
          <w:tcPr>
            <w:tcW w:w="504" w:type="dxa"/>
            <w:vAlign w:val="center"/>
          </w:tcPr>
          <w:p w14:paraId="46C175E0" w14:textId="77777777" w:rsidR="00B06B6F" w:rsidRPr="00FC7951" w:rsidRDefault="00B06B6F" w:rsidP="00725F19">
            <w:pPr>
              <w:pStyle w:val="m0"/>
              <w:jc w:val="center"/>
            </w:pPr>
            <w:r w:rsidRPr="00FC7951">
              <w:t>1</w:t>
            </w:r>
          </w:p>
        </w:tc>
        <w:tc>
          <w:tcPr>
            <w:tcW w:w="2473" w:type="dxa"/>
            <w:vAlign w:val="center"/>
          </w:tcPr>
          <w:p w14:paraId="06D3F9A1" w14:textId="177262DB" w:rsidR="00B06B6F" w:rsidRPr="00FC7951" w:rsidRDefault="00D665C6" w:rsidP="00D665C6">
            <w:pPr>
              <w:pStyle w:val="m0"/>
            </w:pPr>
            <w:r>
              <w:t xml:space="preserve">Приказ № 124/01 от 05.08.2021 </w:t>
            </w:r>
          </w:p>
        </w:tc>
        <w:tc>
          <w:tcPr>
            <w:tcW w:w="6521" w:type="dxa"/>
            <w:vAlign w:val="center"/>
          </w:tcPr>
          <w:p w14:paraId="0D1C5482" w14:textId="55706A26" w:rsidR="00B06B6F" w:rsidRPr="00FC7951" w:rsidRDefault="00B06B6F" w:rsidP="00351B09">
            <w:pPr>
              <w:pStyle w:val="m0"/>
            </w:pPr>
            <w:r w:rsidRPr="00FC7951">
              <w:t xml:space="preserve">Политика снабжения </w:t>
            </w:r>
            <w:r w:rsidR="008303F7">
              <w:t>АО «ЕИРЦ ЛО»</w:t>
            </w:r>
            <w:r w:rsidR="00521C78">
              <w:t xml:space="preserve"> </w:t>
            </w:r>
            <w:r w:rsidR="00351B09" w:rsidRPr="00FC7951">
              <w:t>ПТ-001</w:t>
            </w:r>
            <w:r w:rsidR="00351B09">
              <w:t>-7</w:t>
            </w:r>
          </w:p>
        </w:tc>
      </w:tr>
      <w:tr w:rsidR="00B06B6F" w:rsidRPr="00FC7951" w14:paraId="22872544" w14:textId="77777777" w:rsidTr="0041278C">
        <w:trPr>
          <w:cantSplit/>
          <w:trHeight w:val="284"/>
        </w:trPr>
        <w:tc>
          <w:tcPr>
            <w:tcW w:w="504" w:type="dxa"/>
            <w:vAlign w:val="center"/>
          </w:tcPr>
          <w:p w14:paraId="1C8CE4F9" w14:textId="77777777" w:rsidR="00B06B6F" w:rsidRPr="00FC7951" w:rsidRDefault="00B06B6F" w:rsidP="00725F19">
            <w:pPr>
              <w:pStyle w:val="m0"/>
              <w:jc w:val="center"/>
            </w:pPr>
            <w:r w:rsidRPr="00FC7951">
              <w:t>2</w:t>
            </w:r>
          </w:p>
        </w:tc>
        <w:tc>
          <w:tcPr>
            <w:tcW w:w="2473" w:type="dxa"/>
            <w:vAlign w:val="center"/>
          </w:tcPr>
          <w:p w14:paraId="6438DFA6" w14:textId="7E08CC4E" w:rsidR="00B06B6F" w:rsidRPr="00FC7951" w:rsidRDefault="0022205E" w:rsidP="0022205E">
            <w:pPr>
              <w:pStyle w:val="m0"/>
            </w:pPr>
            <w:r>
              <w:t>Приказ № 1</w:t>
            </w:r>
            <w:r w:rsidR="003723EF">
              <w:t>03</w:t>
            </w:r>
            <w:r>
              <w:t xml:space="preserve">/01 </w:t>
            </w:r>
            <w:r w:rsidR="0041278C" w:rsidRPr="0022205E">
              <w:t>от 29.06.2021 г.</w:t>
            </w:r>
          </w:p>
        </w:tc>
        <w:tc>
          <w:tcPr>
            <w:tcW w:w="6521" w:type="dxa"/>
            <w:vAlign w:val="center"/>
          </w:tcPr>
          <w:p w14:paraId="74E8D02C" w14:textId="18DF3DA5" w:rsidR="00B06B6F" w:rsidRPr="00FC7951" w:rsidRDefault="00AF11D2" w:rsidP="0041278C">
            <w:pPr>
              <w:pStyle w:val="m0"/>
            </w:pPr>
            <w:r w:rsidRPr="00AF11D2">
              <w:t>Положение о порядке проведения регламентированных закупок товаров, работ, услуг для нужд АО «ЕИРЦ ЛО»</w:t>
            </w:r>
          </w:p>
        </w:tc>
      </w:tr>
      <w:tr w:rsidR="00B06B6F" w:rsidRPr="00FC7951" w14:paraId="4D569E7E" w14:textId="77777777" w:rsidTr="0041278C">
        <w:trPr>
          <w:cantSplit/>
          <w:trHeight w:val="284"/>
        </w:trPr>
        <w:tc>
          <w:tcPr>
            <w:tcW w:w="504" w:type="dxa"/>
            <w:vAlign w:val="center"/>
          </w:tcPr>
          <w:p w14:paraId="35AD7027" w14:textId="77777777" w:rsidR="00B06B6F" w:rsidRPr="00FC7951" w:rsidRDefault="00B06B6F" w:rsidP="00725F19">
            <w:pPr>
              <w:pStyle w:val="m0"/>
              <w:jc w:val="center"/>
            </w:pPr>
            <w:r w:rsidRPr="00FC7951">
              <w:t>3</w:t>
            </w:r>
          </w:p>
        </w:tc>
        <w:tc>
          <w:tcPr>
            <w:tcW w:w="2473" w:type="dxa"/>
            <w:vAlign w:val="center"/>
          </w:tcPr>
          <w:p w14:paraId="59B468D3" w14:textId="5EC01B45" w:rsidR="00B06B6F" w:rsidRPr="00FC7951" w:rsidRDefault="00D34A11" w:rsidP="00D34A11">
            <w:pPr>
              <w:pStyle w:val="m0"/>
            </w:pPr>
            <w:r>
              <w:t xml:space="preserve">Приказ № 79/01 </w:t>
            </w:r>
            <w:r w:rsidR="00521C78">
              <w:t xml:space="preserve">от </w:t>
            </w:r>
            <w:r w:rsidR="00521C78" w:rsidRPr="00521C78">
              <w:t>29.04.2022 г</w:t>
            </w:r>
            <w:r w:rsidR="00521C78">
              <w:t>.</w:t>
            </w:r>
          </w:p>
        </w:tc>
        <w:tc>
          <w:tcPr>
            <w:tcW w:w="6521" w:type="dxa"/>
            <w:vAlign w:val="center"/>
          </w:tcPr>
          <w:p w14:paraId="79264CA0" w14:textId="7973DF8B" w:rsidR="00B06B6F" w:rsidRPr="00FC7951" w:rsidRDefault="00B06B6F" w:rsidP="00AF11D2">
            <w:pPr>
              <w:pStyle w:val="m0"/>
            </w:pPr>
            <w:r w:rsidRPr="00FC7951">
              <w:t xml:space="preserve">Регламент процесса </w:t>
            </w:r>
            <w:r w:rsidR="00AF11D2" w:rsidRPr="00FC7951">
              <w:t>РП-014</w:t>
            </w:r>
            <w:r w:rsidR="00AF11D2">
              <w:t>-8</w:t>
            </w:r>
            <w:r w:rsidR="00AF11D2" w:rsidRPr="00FC7951">
              <w:t xml:space="preserve"> </w:t>
            </w:r>
            <w:r w:rsidRPr="00FC7951">
              <w:t>«Проведение экспертной оценки заявок на участие в закупке»</w:t>
            </w:r>
            <w:r w:rsidR="00521C78">
              <w:t xml:space="preserve"> </w:t>
            </w:r>
          </w:p>
        </w:tc>
      </w:tr>
      <w:tr w:rsidR="00B06B6F" w:rsidRPr="00FC7951" w14:paraId="417C887F" w14:textId="77777777" w:rsidTr="0041278C">
        <w:trPr>
          <w:cantSplit/>
          <w:trHeight w:val="284"/>
        </w:trPr>
        <w:tc>
          <w:tcPr>
            <w:tcW w:w="504" w:type="dxa"/>
            <w:vAlign w:val="center"/>
          </w:tcPr>
          <w:p w14:paraId="0F0B3818" w14:textId="77777777" w:rsidR="00B06B6F" w:rsidRPr="00FC7951" w:rsidRDefault="00B06B6F" w:rsidP="00725F19">
            <w:pPr>
              <w:pStyle w:val="m0"/>
              <w:jc w:val="center"/>
            </w:pPr>
            <w:r w:rsidRPr="00FC7951">
              <w:t>4</w:t>
            </w:r>
          </w:p>
        </w:tc>
        <w:tc>
          <w:tcPr>
            <w:tcW w:w="2473" w:type="dxa"/>
            <w:vAlign w:val="center"/>
          </w:tcPr>
          <w:p w14:paraId="3C73AEE9" w14:textId="4F79AAEF" w:rsidR="00B06B6F" w:rsidRPr="00FC7951" w:rsidRDefault="00076CE3" w:rsidP="00725F19">
            <w:pPr>
              <w:pStyle w:val="m0"/>
            </w:pPr>
            <w:r>
              <w:t xml:space="preserve">Приказ № 78/01 </w:t>
            </w:r>
            <w:r w:rsidR="00521C78">
              <w:t xml:space="preserve">от </w:t>
            </w:r>
            <w:r w:rsidR="00521C78" w:rsidRPr="00521C78">
              <w:t>29.04.2022 г</w:t>
            </w:r>
            <w:r w:rsidR="00521C78">
              <w:t>.</w:t>
            </w:r>
          </w:p>
        </w:tc>
        <w:tc>
          <w:tcPr>
            <w:tcW w:w="6521" w:type="dxa"/>
            <w:vAlign w:val="center"/>
          </w:tcPr>
          <w:p w14:paraId="7BA7BEE4" w14:textId="14402386" w:rsidR="00521C78" w:rsidRDefault="00B06B6F" w:rsidP="00725F19">
            <w:pPr>
              <w:pStyle w:val="m0"/>
            </w:pPr>
            <w:r w:rsidRPr="00FC7951">
              <w:t>Регламент процесса</w:t>
            </w:r>
            <w:r w:rsidR="00AF11D2">
              <w:t xml:space="preserve"> </w:t>
            </w:r>
            <w:r w:rsidR="00AF11D2" w:rsidRPr="00521C78">
              <w:t>РП-017-14</w:t>
            </w:r>
            <w:r w:rsidR="00AF11D2">
              <w:t xml:space="preserve"> </w:t>
            </w:r>
            <w:r w:rsidRPr="00FC7951">
              <w:t>«Проведение закупочных процедур»</w:t>
            </w:r>
            <w:r w:rsidR="00521C78">
              <w:t xml:space="preserve"> </w:t>
            </w:r>
          </w:p>
          <w:p w14:paraId="3D09F158" w14:textId="7945890D" w:rsidR="00B06B6F" w:rsidRPr="00FC7951" w:rsidRDefault="00521C78" w:rsidP="00725F19">
            <w:pPr>
              <w:pStyle w:val="m0"/>
            </w:pPr>
            <w:r w:rsidRPr="00521C78">
              <w:t>АО «ЕИРЦ ЛО»</w:t>
            </w:r>
          </w:p>
        </w:tc>
      </w:tr>
      <w:tr w:rsidR="00B06B6F" w:rsidRPr="00FC7951" w14:paraId="6F180737" w14:textId="77777777" w:rsidTr="0041278C">
        <w:trPr>
          <w:cantSplit/>
          <w:trHeight w:val="284"/>
        </w:trPr>
        <w:tc>
          <w:tcPr>
            <w:tcW w:w="504" w:type="dxa"/>
            <w:vAlign w:val="center"/>
          </w:tcPr>
          <w:p w14:paraId="618D4D92" w14:textId="77777777" w:rsidR="00B06B6F" w:rsidRPr="00FC7951" w:rsidRDefault="00507E0D" w:rsidP="00725F19">
            <w:pPr>
              <w:pStyle w:val="m0"/>
              <w:jc w:val="center"/>
            </w:pPr>
            <w:r>
              <w:t>5</w:t>
            </w:r>
          </w:p>
        </w:tc>
        <w:tc>
          <w:tcPr>
            <w:tcW w:w="2473" w:type="dxa"/>
            <w:vAlign w:val="center"/>
          </w:tcPr>
          <w:p w14:paraId="04E5C74A" w14:textId="53E27CC8" w:rsidR="00B06B6F" w:rsidRPr="00FC7951" w:rsidRDefault="00EB592A" w:rsidP="00725F19">
            <w:pPr>
              <w:pStyle w:val="m0"/>
            </w:pPr>
            <w:r>
              <w:t xml:space="preserve">Приказ № 13/01 </w:t>
            </w:r>
            <w:r w:rsidR="00CF1F63">
              <w:t xml:space="preserve">от </w:t>
            </w:r>
            <w:r w:rsidR="00CF1F63" w:rsidRPr="00CF1F63">
              <w:t>19.01.2021</w:t>
            </w:r>
            <w:r w:rsidR="00CF1F63">
              <w:t xml:space="preserve"> г.</w:t>
            </w:r>
          </w:p>
        </w:tc>
        <w:tc>
          <w:tcPr>
            <w:tcW w:w="6521" w:type="dxa"/>
            <w:vAlign w:val="center"/>
          </w:tcPr>
          <w:p w14:paraId="7E1B0EE9" w14:textId="70D2761E" w:rsidR="00B06B6F" w:rsidRPr="00FC7951" w:rsidRDefault="00B06B6F" w:rsidP="00AF11D2">
            <w:pPr>
              <w:pStyle w:val="m0"/>
            </w:pPr>
            <w:r w:rsidRPr="00FC7951">
              <w:t>Регламент процесса</w:t>
            </w:r>
            <w:r w:rsidR="00AF11D2">
              <w:t xml:space="preserve"> </w:t>
            </w:r>
            <w:r w:rsidR="00AF11D2" w:rsidRPr="00FC7951">
              <w:t>РП-015</w:t>
            </w:r>
            <w:r w:rsidR="00AF11D2">
              <w:t xml:space="preserve">-10 </w:t>
            </w:r>
            <w:r w:rsidRPr="00FC7951">
              <w:t xml:space="preserve">«Работа Центрального закупочного комитета </w:t>
            </w:r>
            <w:r w:rsidR="00CF1F63" w:rsidRPr="00CF1F63">
              <w:t>АО «ЕИРЦ ЛО»</w:t>
            </w:r>
            <w:r w:rsidR="00CF1F63">
              <w:t xml:space="preserve"> </w:t>
            </w:r>
          </w:p>
        </w:tc>
      </w:tr>
      <w:tr w:rsidR="00B06B6F" w:rsidRPr="00FC7951" w14:paraId="7C923B1C" w14:textId="77777777" w:rsidTr="0041278C">
        <w:trPr>
          <w:cantSplit/>
          <w:trHeight w:val="284"/>
        </w:trPr>
        <w:tc>
          <w:tcPr>
            <w:tcW w:w="504" w:type="dxa"/>
            <w:vAlign w:val="center"/>
          </w:tcPr>
          <w:p w14:paraId="07D9AB84" w14:textId="77777777" w:rsidR="00B06B6F" w:rsidRPr="00FC7951" w:rsidRDefault="00507E0D" w:rsidP="00725F19">
            <w:pPr>
              <w:pStyle w:val="m0"/>
              <w:jc w:val="center"/>
            </w:pPr>
            <w:r>
              <w:t>6</w:t>
            </w:r>
          </w:p>
        </w:tc>
        <w:tc>
          <w:tcPr>
            <w:tcW w:w="2473" w:type="dxa"/>
            <w:vAlign w:val="center"/>
          </w:tcPr>
          <w:p w14:paraId="44959509" w14:textId="6A9FDACC" w:rsidR="00B06B6F" w:rsidRPr="00FC7951" w:rsidRDefault="00615A2B" w:rsidP="00615A2B">
            <w:pPr>
              <w:pStyle w:val="m0"/>
            </w:pPr>
            <w:r>
              <w:t>Приказ № 66/01</w:t>
            </w:r>
            <w:r w:rsidR="00E45BAE">
              <w:t xml:space="preserve"> от 14.04.2022 г.</w:t>
            </w:r>
          </w:p>
        </w:tc>
        <w:tc>
          <w:tcPr>
            <w:tcW w:w="6521" w:type="dxa"/>
            <w:vAlign w:val="center"/>
          </w:tcPr>
          <w:p w14:paraId="398348F2" w14:textId="2A17A31C" w:rsidR="00B06B6F" w:rsidRPr="00FC7951" w:rsidRDefault="00B06B6F" w:rsidP="00AF11D2">
            <w:pPr>
              <w:pStyle w:val="m0"/>
            </w:pPr>
            <w:r w:rsidRPr="00FC7951">
              <w:t xml:space="preserve">Регламент процесса </w:t>
            </w:r>
            <w:r w:rsidR="00AF11D2" w:rsidRPr="006145DA">
              <w:t>РП-113-6</w:t>
            </w:r>
            <w:r w:rsidR="00AF11D2" w:rsidRPr="00FC7951">
              <w:t xml:space="preserve"> </w:t>
            </w:r>
            <w:r w:rsidRPr="00FC7951">
              <w:t>«Проведение упрощённой процедуры закупки»</w:t>
            </w:r>
            <w:r w:rsidR="00E45BAE">
              <w:t xml:space="preserve"> </w:t>
            </w:r>
            <w:r w:rsidR="00E45BAE" w:rsidRPr="00521C78">
              <w:t>АО «ЕИРЦ ЛО»</w:t>
            </w:r>
          </w:p>
        </w:tc>
      </w:tr>
      <w:tr w:rsidR="00B06B6F" w:rsidRPr="00FC7951" w14:paraId="313871DE" w14:textId="77777777" w:rsidTr="0041278C">
        <w:trPr>
          <w:cantSplit/>
          <w:trHeight w:val="284"/>
        </w:trPr>
        <w:tc>
          <w:tcPr>
            <w:tcW w:w="504" w:type="dxa"/>
            <w:vAlign w:val="center"/>
          </w:tcPr>
          <w:p w14:paraId="10F2A127" w14:textId="77777777" w:rsidR="00B06B6F" w:rsidRPr="00FC7951" w:rsidRDefault="00507E0D" w:rsidP="00725F19">
            <w:pPr>
              <w:pStyle w:val="m0"/>
              <w:jc w:val="center"/>
            </w:pPr>
            <w:r>
              <w:t>7</w:t>
            </w:r>
          </w:p>
        </w:tc>
        <w:tc>
          <w:tcPr>
            <w:tcW w:w="2473" w:type="dxa"/>
            <w:vAlign w:val="center"/>
          </w:tcPr>
          <w:p w14:paraId="471D11EF" w14:textId="796B6E04" w:rsidR="00B06B6F" w:rsidRPr="00FC7951" w:rsidRDefault="006145DA" w:rsidP="006145DA">
            <w:pPr>
              <w:pStyle w:val="m0"/>
            </w:pPr>
            <w:r>
              <w:t xml:space="preserve">Приказ № </w:t>
            </w:r>
            <w:r w:rsidRPr="006145DA">
              <w:t>56/01</w:t>
            </w:r>
            <w:r w:rsidR="00B06B6F" w:rsidRPr="00FC7951">
              <w:t xml:space="preserve"> от </w:t>
            </w:r>
            <w:r>
              <w:t>26.04</w:t>
            </w:r>
            <w:r w:rsidR="00B06B6F" w:rsidRPr="00FC7951">
              <w:t>.2021</w:t>
            </w:r>
          </w:p>
        </w:tc>
        <w:tc>
          <w:tcPr>
            <w:tcW w:w="6521" w:type="dxa"/>
            <w:vAlign w:val="center"/>
          </w:tcPr>
          <w:p w14:paraId="4145E394" w14:textId="6348FD61" w:rsidR="00B06B6F" w:rsidRPr="00FC7951" w:rsidRDefault="00B06B6F" w:rsidP="00792317">
            <w:pPr>
              <w:pStyle w:val="m0"/>
            </w:pPr>
            <w:r w:rsidRPr="00FC7951">
              <w:t>Приказ</w:t>
            </w:r>
            <w:r w:rsidR="00792317">
              <w:t xml:space="preserve"> </w:t>
            </w:r>
            <w:r w:rsidRPr="00FC7951">
              <w:t>«Об утверждении типовых формулировок обеспечения исполнения договора при проведении закупочных процедур до 5 000 000.00 руб. (включительно)»</w:t>
            </w:r>
          </w:p>
        </w:tc>
      </w:tr>
    </w:tbl>
    <w:p w14:paraId="5D7527F7" w14:textId="77777777" w:rsidR="00B06B6F" w:rsidRPr="00FC7951" w:rsidRDefault="00B06B6F" w:rsidP="00725F19">
      <w:pPr>
        <w:pStyle w:val="1"/>
        <w:numPr>
          <w:ilvl w:val="0"/>
          <w:numId w:val="0"/>
        </w:numPr>
        <w:tabs>
          <w:tab w:val="left" w:pos="1134"/>
        </w:tabs>
      </w:pPr>
    </w:p>
    <w:p w14:paraId="728B1228" w14:textId="77777777" w:rsidR="00B06B6F" w:rsidRPr="00FC7951" w:rsidRDefault="00B06B6F" w:rsidP="00725F19">
      <w:pPr>
        <w:pStyle w:val="1"/>
        <w:tabs>
          <w:tab w:val="clear" w:pos="1353"/>
          <w:tab w:val="left" w:pos="1134"/>
          <w:tab w:val="num" w:pos="1418"/>
        </w:tabs>
        <w:ind w:left="0" w:firstLine="709"/>
      </w:pPr>
      <w:bookmarkStart w:id="32" w:name="_Toc107244339"/>
      <w:bookmarkStart w:id="33" w:name="_Toc107247778"/>
      <w:r w:rsidRPr="00FC7951">
        <w:t>КОНТРОЛЬ ВЕРСИЙ ДОКУМЕНТА</w:t>
      </w:r>
      <w:bookmarkEnd w:id="32"/>
      <w:bookmarkEnd w:id="33"/>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16"/>
        <w:gridCol w:w="4443"/>
        <w:gridCol w:w="2924"/>
      </w:tblGrid>
      <w:tr w:rsidR="00507E0D" w:rsidRPr="00507E0D" w14:paraId="2154309A"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D9D9D9"/>
            <w:vAlign w:val="center"/>
          </w:tcPr>
          <w:p w14:paraId="5C448A28"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Times New Roman" w:hAnsi="Times New Roman" w:cs="Times New Roman"/>
                <w:b/>
                <w:sz w:val="20"/>
                <w:szCs w:val="20"/>
                <w:lang w:eastAsia="ru-RU"/>
              </w:rPr>
              <w:t>Версия</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C7503A9"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Times New Roman" w:hAnsi="Times New Roman" w:cs="Times New Roman"/>
                <w:b/>
                <w:sz w:val="20"/>
                <w:szCs w:val="20"/>
                <w:lang w:eastAsia="ru-RU"/>
              </w:rPr>
              <w:t>Дата</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01A5026"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Calibri" w:hAnsi="Times New Roman" w:cs="Times New Roman"/>
                <w:b/>
                <w:sz w:val="20"/>
                <w:szCs w:val="24"/>
                <w:lang w:eastAsia="ru-RU"/>
              </w:rPr>
              <w:t>Должность Ответственного за разработку ВНД</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C818EE8" w14:textId="77777777" w:rsidR="00507E0D" w:rsidRPr="00507E0D" w:rsidRDefault="00507E0D" w:rsidP="00725F19">
            <w:pPr>
              <w:spacing w:before="60" w:after="60" w:line="240" w:lineRule="auto"/>
              <w:jc w:val="center"/>
              <w:rPr>
                <w:rFonts w:ascii="Times New Roman" w:eastAsia="Times New Roman" w:hAnsi="Times New Roman" w:cs="Times New Roman"/>
                <w:b/>
                <w:sz w:val="20"/>
                <w:szCs w:val="20"/>
                <w:lang w:eastAsia="ru-RU"/>
              </w:rPr>
            </w:pPr>
            <w:r w:rsidRPr="00507E0D">
              <w:rPr>
                <w:rFonts w:ascii="Times New Roman" w:eastAsia="Calibri" w:hAnsi="Times New Roman" w:cs="Times New Roman"/>
                <w:b/>
                <w:sz w:val="20"/>
                <w:szCs w:val="24"/>
                <w:lang w:eastAsia="ru-RU"/>
              </w:rPr>
              <w:t>ФИО Ответственного за разработку ВНД</w:t>
            </w:r>
          </w:p>
        </w:tc>
      </w:tr>
      <w:tr w:rsidR="00507E0D" w:rsidRPr="00507E0D" w14:paraId="0FE2B11B"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14:paraId="35D94103"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9FEB5A"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15.06.2021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14BEAE"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Начальник отдела сопровождения договорной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E3CAA9"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А.С. Хренкова</w:t>
            </w:r>
          </w:p>
        </w:tc>
      </w:tr>
      <w:tr w:rsidR="00507E0D" w:rsidRPr="00507E0D" w14:paraId="20894DD4" w14:textId="77777777" w:rsidTr="0041278C">
        <w:tc>
          <w:tcPr>
            <w:tcW w:w="1009" w:type="dxa"/>
            <w:tcBorders>
              <w:top w:val="single" w:sz="4" w:space="0" w:color="auto"/>
              <w:left w:val="single" w:sz="4" w:space="0" w:color="auto"/>
              <w:bottom w:val="single" w:sz="4" w:space="0" w:color="auto"/>
              <w:right w:val="single" w:sz="4" w:space="0" w:color="auto"/>
            </w:tcBorders>
            <w:shd w:val="clear" w:color="auto" w:fill="FFFFFF"/>
            <w:vAlign w:val="center"/>
          </w:tcPr>
          <w:p w14:paraId="06B10818"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90256F"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01.08.2022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F8ED50" w14:textId="2E82E79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sidRPr="00507E0D">
              <w:rPr>
                <w:rFonts w:ascii="Times New Roman" w:eastAsia="Times New Roman" w:hAnsi="Times New Roman" w:cs="Times New Roman"/>
                <w:sz w:val="20"/>
                <w:szCs w:val="20"/>
                <w:lang w:eastAsia="ru-RU"/>
              </w:rPr>
              <w:t>Юрисконсульт 2 категории</w:t>
            </w:r>
            <w:r w:rsidR="00E477CA">
              <w:rPr>
                <w:rFonts w:ascii="Times New Roman" w:eastAsia="Times New Roman" w:hAnsi="Times New Roman" w:cs="Times New Roman"/>
                <w:sz w:val="20"/>
                <w:szCs w:val="20"/>
                <w:lang w:eastAsia="ru-RU"/>
              </w:rPr>
              <w:t xml:space="preserve"> </w:t>
            </w:r>
            <w:r w:rsidR="00E477CA" w:rsidRPr="00E477CA">
              <w:rPr>
                <w:rFonts w:ascii="Times New Roman" w:eastAsia="Times New Roman" w:hAnsi="Times New Roman" w:cs="Times New Roman"/>
                <w:sz w:val="20"/>
                <w:szCs w:val="20"/>
                <w:lang w:eastAsia="ru-RU"/>
              </w:rPr>
              <w:t>отдела сопровождения договорной деятельности</w:t>
            </w:r>
          </w:p>
          <w:p w14:paraId="1CB4F5AC" w14:textId="77777777" w:rsidR="00507E0D" w:rsidRPr="00507E0D" w:rsidRDefault="00507E0D" w:rsidP="00725F19">
            <w:pPr>
              <w:spacing w:before="60" w:after="60" w:line="240" w:lineRule="auto"/>
              <w:rPr>
                <w:rFonts w:ascii="Times New Roman" w:eastAsia="Times New Roman" w:hAnsi="Times New Roman" w:cs="Times New Roman"/>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198A1" w14:textId="77777777" w:rsidR="00507E0D" w:rsidRPr="00507E0D" w:rsidRDefault="00507E0D" w:rsidP="00725F19">
            <w:pPr>
              <w:spacing w:before="60" w:after="6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М. Макарова</w:t>
            </w:r>
          </w:p>
        </w:tc>
      </w:tr>
    </w:tbl>
    <w:p w14:paraId="4E7B82B9" w14:textId="77777777" w:rsidR="00B06B6F" w:rsidRPr="00FC7951" w:rsidRDefault="00B06B6F" w:rsidP="001746C7">
      <w:pPr>
        <w:tabs>
          <w:tab w:val="left" w:pos="1134"/>
        </w:tabs>
      </w:pPr>
    </w:p>
    <w:p w14:paraId="7352E2B3" w14:textId="77777777" w:rsidR="00B06B6F" w:rsidRPr="00FC7951" w:rsidRDefault="00B06B6F" w:rsidP="00725F19">
      <w:pPr>
        <w:pStyle w:val="1"/>
        <w:tabs>
          <w:tab w:val="clear" w:pos="1353"/>
          <w:tab w:val="left" w:pos="1134"/>
        </w:tabs>
        <w:ind w:left="0" w:firstLine="709"/>
      </w:pPr>
      <w:bookmarkStart w:id="34" w:name="_Toc107244340"/>
      <w:bookmarkStart w:id="35" w:name="_Toc107247779"/>
      <w:r w:rsidRPr="00FC7951">
        <w:t>ПРИЛОЖЕНИЯ</w:t>
      </w:r>
      <w:bookmarkEnd w:id="34"/>
      <w:bookmarkEnd w:id="35"/>
    </w:p>
    <w:p w14:paraId="4DCFD1A8" w14:textId="77777777" w:rsidR="00B06B6F" w:rsidRPr="001746C7" w:rsidRDefault="00B06B6F" w:rsidP="00725F19">
      <w:pPr>
        <w:widowControl w:val="0"/>
        <w:tabs>
          <w:tab w:val="left" w:pos="1134"/>
        </w:tabs>
        <w:spacing w:after="60"/>
        <w:ind w:firstLine="709"/>
        <w:contextualSpacing/>
        <w:jc w:val="both"/>
        <w:rPr>
          <w:rFonts w:ascii="Times New Roman" w:eastAsia="Calibri" w:hAnsi="Times New Roman" w:cs="Times New Roman"/>
          <w:sz w:val="24"/>
          <w:szCs w:val="24"/>
        </w:rPr>
      </w:pPr>
      <w:r w:rsidRPr="001746C7">
        <w:rPr>
          <w:rFonts w:ascii="Times New Roman" w:eastAsia="Calibri" w:hAnsi="Times New Roman" w:cs="Times New Roman"/>
          <w:sz w:val="24"/>
          <w:szCs w:val="24"/>
        </w:rPr>
        <w:t xml:space="preserve">Приложения согласуются и утверждаются в упрощенном порядке: </w:t>
      </w:r>
    </w:p>
    <w:p w14:paraId="38AAF1C6" w14:textId="77777777" w:rsidR="00B06B6F" w:rsidRPr="001746C7" w:rsidRDefault="00B06B6F" w:rsidP="00725F19">
      <w:pPr>
        <w:widowControl w:val="0"/>
        <w:tabs>
          <w:tab w:val="left" w:pos="1134"/>
        </w:tabs>
        <w:spacing w:after="60"/>
        <w:ind w:firstLine="709"/>
        <w:contextualSpacing/>
        <w:jc w:val="both"/>
        <w:rPr>
          <w:rFonts w:ascii="Times New Roman" w:eastAsia="Calibri" w:hAnsi="Times New Roman" w:cs="Times New Roman"/>
          <w:b/>
          <w:sz w:val="24"/>
          <w:szCs w:val="24"/>
        </w:rPr>
      </w:pPr>
      <w:r w:rsidRPr="001746C7">
        <w:rPr>
          <w:rFonts w:ascii="Times New Roman" w:eastAsia="Calibri" w:hAnsi="Times New Roman" w:cs="Times New Roman"/>
          <w:sz w:val="24"/>
          <w:szCs w:val="24"/>
        </w:rPr>
        <w:t>Приложение 1, Приложение 2, Приложение 3, Приложение 4.</w:t>
      </w:r>
    </w:p>
    <w:p w14:paraId="110A074F" w14:textId="77777777" w:rsidR="00B06B6F" w:rsidRPr="001746C7" w:rsidRDefault="00B06B6F" w:rsidP="00725F19">
      <w:pPr>
        <w:widowControl w:val="0"/>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sz w:val="24"/>
          <w:szCs w:val="24"/>
        </w:rPr>
        <w:t>Приложение 1. Разграничение функциональных обязанностей по проведению финансово-экономической экспертизы.</w:t>
      </w:r>
    </w:p>
    <w:p w14:paraId="48C71506" w14:textId="77777777" w:rsidR="00B06B6F" w:rsidRPr="001746C7" w:rsidRDefault="00B06B6F" w:rsidP="00725F19">
      <w:pPr>
        <w:widowControl w:val="0"/>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sz w:val="24"/>
          <w:szCs w:val="24"/>
        </w:rPr>
        <w:t>Приложение 2. Алгоритм действия Эксперта при подготовке заключения по направлению финансово-экономической экспертизы с использованием шаблона «Финэкспертиза.xls».</w:t>
      </w:r>
    </w:p>
    <w:p w14:paraId="187E7148" w14:textId="77777777" w:rsidR="00B06B6F" w:rsidRPr="001746C7" w:rsidRDefault="00B06B6F" w:rsidP="00725F19">
      <w:pPr>
        <w:keepNext/>
        <w:numPr>
          <w:ilvl w:val="1"/>
          <w:numId w:val="0"/>
        </w:numPr>
        <w:tabs>
          <w:tab w:val="left" w:pos="510"/>
          <w:tab w:val="num" w:pos="1070"/>
          <w:tab w:val="left" w:pos="1134"/>
        </w:tabs>
        <w:ind w:firstLine="709"/>
        <w:jc w:val="both"/>
        <w:rPr>
          <w:rFonts w:ascii="Times New Roman" w:hAnsi="Times New Roman" w:cs="Times New Roman"/>
          <w:b/>
          <w:bCs/>
          <w:iCs/>
          <w:sz w:val="24"/>
          <w:szCs w:val="24"/>
        </w:rPr>
      </w:pPr>
      <w:r w:rsidRPr="001746C7">
        <w:rPr>
          <w:rFonts w:ascii="Times New Roman" w:hAnsi="Times New Roman" w:cs="Times New Roman"/>
          <w:b/>
          <w:sz w:val="24"/>
          <w:szCs w:val="24"/>
        </w:rPr>
        <w:t xml:space="preserve">Приложение 3. </w:t>
      </w:r>
      <w:r w:rsidRPr="001746C7">
        <w:rPr>
          <w:rFonts w:ascii="Times New Roman" w:hAnsi="Times New Roman" w:cs="Times New Roman"/>
          <w:b/>
          <w:bCs/>
          <w:iCs/>
          <w:sz w:val="24"/>
          <w:szCs w:val="24"/>
        </w:rPr>
        <w:t>Формат заключения по направлению финансово-экономической экспертизы с использованием шаблона «Финэкспертиза.xls».</w:t>
      </w:r>
    </w:p>
    <w:p w14:paraId="45CC926D" w14:textId="77777777" w:rsidR="00B06B6F" w:rsidRPr="001746C7" w:rsidRDefault="00B06B6F" w:rsidP="00725F19">
      <w:pPr>
        <w:keepNext/>
        <w:numPr>
          <w:ilvl w:val="1"/>
          <w:numId w:val="0"/>
        </w:numPr>
        <w:tabs>
          <w:tab w:val="left" w:pos="510"/>
          <w:tab w:val="num" w:pos="1070"/>
          <w:tab w:val="left" w:pos="1134"/>
        </w:tabs>
        <w:ind w:firstLine="709"/>
        <w:jc w:val="both"/>
        <w:rPr>
          <w:rFonts w:ascii="Times New Roman" w:hAnsi="Times New Roman" w:cs="Times New Roman"/>
          <w:b/>
          <w:sz w:val="24"/>
          <w:szCs w:val="24"/>
        </w:rPr>
      </w:pPr>
      <w:r w:rsidRPr="001746C7">
        <w:rPr>
          <w:rFonts w:ascii="Times New Roman" w:hAnsi="Times New Roman" w:cs="Times New Roman"/>
          <w:b/>
          <w:bCs/>
          <w:iCs/>
          <w:sz w:val="24"/>
          <w:szCs w:val="24"/>
        </w:rPr>
        <w:t>Приложение 4.</w:t>
      </w:r>
      <w:r w:rsidRPr="001746C7">
        <w:rPr>
          <w:rFonts w:ascii="Times New Roman" w:hAnsi="Times New Roman" w:cs="Times New Roman"/>
          <w:b/>
          <w:sz w:val="24"/>
          <w:szCs w:val="24"/>
        </w:rPr>
        <w:t xml:space="preserve"> 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p>
    <w:p w14:paraId="541A2D13" w14:textId="77777777" w:rsidR="00B06B6F" w:rsidRDefault="00B06B6F" w:rsidP="00725F19">
      <w:pPr>
        <w:spacing w:after="200" w:line="276" w:lineRule="auto"/>
        <w:rPr>
          <w:rFonts w:ascii="Times New Roman" w:hAnsi="Times New Roman" w:cs="Times New Roman"/>
        </w:rPr>
      </w:pPr>
    </w:p>
    <w:p w14:paraId="0B4004B4" w14:textId="77777777" w:rsidR="001746C7" w:rsidRDefault="001746C7" w:rsidP="00725F19">
      <w:pPr>
        <w:spacing w:after="200" w:line="276" w:lineRule="auto"/>
        <w:rPr>
          <w:rFonts w:ascii="Times New Roman" w:hAnsi="Times New Roman" w:cs="Times New Roman"/>
        </w:rPr>
      </w:pPr>
    </w:p>
    <w:p w14:paraId="320115DA" w14:textId="77777777" w:rsidR="001746C7" w:rsidRDefault="001746C7" w:rsidP="00725F19">
      <w:pPr>
        <w:spacing w:after="200" w:line="276" w:lineRule="auto"/>
        <w:rPr>
          <w:rFonts w:ascii="Times New Roman" w:hAnsi="Times New Roman" w:cs="Times New Roman"/>
        </w:rPr>
      </w:pPr>
    </w:p>
    <w:p w14:paraId="6EB02954" w14:textId="77777777" w:rsidR="001746C7" w:rsidRPr="00FC7951" w:rsidRDefault="001746C7" w:rsidP="00725F19">
      <w:pPr>
        <w:spacing w:after="200" w:line="276" w:lineRule="auto"/>
        <w:rPr>
          <w:rFonts w:ascii="Times New Roman" w:hAnsi="Times New Roman" w:cs="Times New Roman"/>
        </w:rPr>
      </w:pPr>
    </w:p>
    <w:p w14:paraId="772E733F" w14:textId="77777777" w:rsidR="00B06B6F" w:rsidRPr="00FC7951" w:rsidRDefault="00B06B6F" w:rsidP="00725F19">
      <w:pPr>
        <w:jc w:val="right"/>
        <w:rPr>
          <w:rStyle w:val="af2"/>
          <w:rFonts w:ascii="Times New Roman" w:hAnsi="Times New Roman" w:cs="Times New Roman"/>
          <w:i w:val="0"/>
          <w:iCs w:val="0"/>
        </w:rPr>
      </w:pPr>
      <w:bookmarkStart w:id="36" w:name="_Toc107244341"/>
      <w:bookmarkStart w:id="37" w:name="_Toc107247780"/>
      <w:r w:rsidRPr="00FC7951">
        <w:rPr>
          <w:rStyle w:val="af2"/>
          <w:rFonts w:ascii="Times New Roman" w:hAnsi="Times New Roman" w:cs="Times New Roman"/>
          <w:i w:val="0"/>
          <w:iCs w:val="0"/>
        </w:rPr>
        <w:t>Приложение 1</w:t>
      </w:r>
      <w:bookmarkEnd w:id="36"/>
      <w:bookmarkEnd w:id="37"/>
      <w:r w:rsidRPr="00FC7951">
        <w:rPr>
          <w:rStyle w:val="af2"/>
          <w:rFonts w:ascii="Times New Roman" w:hAnsi="Times New Roman" w:cs="Times New Roman"/>
          <w:i w:val="0"/>
          <w:iCs w:val="0"/>
        </w:rPr>
        <w:t xml:space="preserve"> </w:t>
      </w:r>
    </w:p>
    <w:p w14:paraId="4C084247" w14:textId="77777777" w:rsidR="00B06B6F" w:rsidRPr="00FC7951" w:rsidRDefault="00B06B6F" w:rsidP="00725F19">
      <w:pPr>
        <w:jc w:val="right"/>
        <w:rPr>
          <w:rStyle w:val="af2"/>
          <w:rFonts w:ascii="Times New Roman" w:hAnsi="Times New Roman" w:cs="Times New Roman"/>
          <w:i w:val="0"/>
          <w:iCs w:val="0"/>
        </w:rPr>
      </w:pPr>
      <w:bookmarkStart w:id="38" w:name="_Toc107244342"/>
      <w:bookmarkStart w:id="39" w:name="_Toc107247781"/>
      <w:r w:rsidRPr="00FC7951">
        <w:rPr>
          <w:rStyle w:val="af2"/>
          <w:rFonts w:ascii="Times New Roman" w:hAnsi="Times New Roman" w:cs="Times New Roman"/>
          <w:i w:val="0"/>
          <w:iCs w:val="0"/>
        </w:rPr>
        <w:t>к Методике МТ-065-4</w:t>
      </w:r>
      <w:bookmarkEnd w:id="38"/>
      <w:bookmarkEnd w:id="39"/>
    </w:p>
    <w:p w14:paraId="73E38A83" w14:textId="77777777" w:rsidR="00B06B6F" w:rsidRPr="00FC7951" w:rsidRDefault="00B06B6F" w:rsidP="00725F19">
      <w:pPr>
        <w:jc w:val="right"/>
        <w:rPr>
          <w:rStyle w:val="10"/>
          <w:rFonts w:eastAsiaTheme="minorHAnsi"/>
        </w:rPr>
      </w:pPr>
    </w:p>
    <w:p w14:paraId="7B45B2EE" w14:textId="77777777" w:rsidR="00B06B6F" w:rsidRPr="00FC7951" w:rsidRDefault="00B06B6F" w:rsidP="00725F19">
      <w:pPr>
        <w:rPr>
          <w:rStyle w:val="10"/>
          <w:rFonts w:eastAsiaTheme="minorHAnsi"/>
        </w:rPr>
      </w:pPr>
      <w:bookmarkStart w:id="40" w:name="_Toc107244343"/>
      <w:bookmarkStart w:id="41" w:name="_Toc107247782"/>
      <w:r w:rsidRPr="00FC7951">
        <w:rPr>
          <w:rStyle w:val="10"/>
          <w:rFonts w:eastAsiaTheme="minorHAnsi"/>
        </w:rPr>
        <w:t>Приложение 1 Разграничение функциональных обязанностей по проведению финансово-экономической экспертизы</w:t>
      </w:r>
      <w:bookmarkEnd w:id="40"/>
      <w:bookmarkEnd w:id="41"/>
      <w:r w:rsidRPr="00FC7951">
        <w:rPr>
          <w:rStyle w:val="10"/>
          <w:rFonts w:eastAsiaTheme="minorHAnsi"/>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03"/>
        <w:gridCol w:w="3828"/>
      </w:tblGrid>
      <w:tr w:rsidR="00B06B6F" w:rsidRPr="00FC7951" w14:paraId="5E7194B3" w14:textId="77777777" w:rsidTr="001746C7">
        <w:trPr>
          <w:trHeight w:val="468"/>
        </w:trPr>
        <w:tc>
          <w:tcPr>
            <w:tcW w:w="567" w:type="dxa"/>
            <w:tcBorders>
              <w:top w:val="single" w:sz="4" w:space="0" w:color="auto"/>
              <w:left w:val="single" w:sz="4" w:space="0" w:color="auto"/>
              <w:bottom w:val="single" w:sz="4" w:space="0" w:color="auto"/>
              <w:right w:val="single" w:sz="4" w:space="0" w:color="auto"/>
            </w:tcBorders>
            <w:hideMark/>
          </w:tcPr>
          <w:p w14:paraId="3BEE51AB" w14:textId="77777777" w:rsidR="00B06B6F" w:rsidRPr="00FC7951" w:rsidRDefault="00B06B6F" w:rsidP="00725F19">
            <w:pPr>
              <w:spacing w:line="256" w:lineRule="auto"/>
              <w:jc w:val="center"/>
              <w:rPr>
                <w:rFonts w:ascii="Times New Roman" w:hAnsi="Times New Roman" w:cs="Times New Roman"/>
                <w:b/>
                <w:color w:val="000000"/>
              </w:rPr>
            </w:pPr>
            <w:proofErr w:type="spellStart"/>
            <w:r w:rsidRPr="00FC7951">
              <w:rPr>
                <w:rFonts w:ascii="Times New Roman" w:hAnsi="Times New Roman" w:cs="Times New Roman"/>
                <w:b/>
                <w:color w:val="000000"/>
              </w:rPr>
              <w:t>пп</w:t>
            </w:r>
            <w:proofErr w:type="spellEnd"/>
            <w:r w:rsidRPr="00FC7951">
              <w:rPr>
                <w:rFonts w:ascii="Times New Roman" w:hAnsi="Times New Roman" w:cs="Times New Roman"/>
                <w:b/>
                <w:color w:val="000000"/>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0BFD4AE" w14:textId="77777777" w:rsidR="00B06B6F" w:rsidRPr="00FC7951" w:rsidRDefault="00B06B6F" w:rsidP="00725F19">
            <w:pPr>
              <w:spacing w:line="256" w:lineRule="auto"/>
              <w:jc w:val="center"/>
              <w:rPr>
                <w:rFonts w:ascii="Times New Roman" w:hAnsi="Times New Roman" w:cs="Times New Roman"/>
                <w:b/>
                <w:color w:val="000000"/>
              </w:rPr>
            </w:pPr>
            <w:r w:rsidRPr="00FC7951">
              <w:rPr>
                <w:rFonts w:ascii="Times New Roman" w:hAnsi="Times New Roman" w:cs="Times New Roman"/>
                <w:b/>
                <w:color w:val="000000"/>
              </w:rPr>
              <w:t>Категория процедуры</w:t>
            </w: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1A4EDC99" w14:textId="77777777" w:rsidR="00B06B6F" w:rsidRPr="00FC7951" w:rsidRDefault="00B06B6F" w:rsidP="00725F19">
            <w:pPr>
              <w:spacing w:line="256" w:lineRule="auto"/>
              <w:jc w:val="center"/>
              <w:rPr>
                <w:rFonts w:ascii="Times New Roman" w:hAnsi="Times New Roman" w:cs="Times New Roman"/>
                <w:b/>
                <w:color w:val="000000"/>
              </w:rPr>
            </w:pPr>
            <w:r w:rsidRPr="00FC7951">
              <w:rPr>
                <w:rFonts w:ascii="Times New Roman" w:hAnsi="Times New Roman" w:cs="Times New Roman"/>
                <w:b/>
                <w:color w:val="000000"/>
              </w:rPr>
              <w:t>Эксперт по направлению</w:t>
            </w:r>
          </w:p>
        </w:tc>
      </w:tr>
      <w:tr w:rsidR="00B06B6F" w:rsidRPr="00FC7951" w14:paraId="7A8746CA" w14:textId="77777777" w:rsidTr="001746C7">
        <w:trPr>
          <w:trHeight w:val="1486"/>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627CEE"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1</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14:paraId="4B5F9180"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 xml:space="preserve">закупочные процедуры Группы, сумма по которым превышает </w:t>
            </w:r>
            <w:r w:rsidRPr="00FC7951">
              <w:rPr>
                <w:b/>
                <w:color w:val="000000"/>
                <w:lang w:eastAsia="en-US"/>
              </w:rPr>
              <w:t>250 млн. рублей</w:t>
            </w:r>
            <w:r w:rsidRPr="00FC7951">
              <w:rPr>
                <w:color w:val="000000"/>
                <w:lang w:eastAsia="en-US"/>
              </w:rPr>
              <w:t xml:space="preserve"> без НДС*;</w:t>
            </w:r>
          </w:p>
          <w:p w14:paraId="2C5DA994"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закупочные процедуры Группы, связанные с покупкой и транспортировкой топлива для нужд российских генерирующих активов;</w:t>
            </w:r>
          </w:p>
          <w:p w14:paraId="203F5095" w14:textId="77777777" w:rsidR="00B06B6F" w:rsidRPr="00FC7951" w:rsidRDefault="00B06B6F" w:rsidP="00725F19">
            <w:pPr>
              <w:pStyle w:val="ac"/>
              <w:numPr>
                <w:ilvl w:val="0"/>
                <w:numId w:val="41"/>
              </w:numPr>
              <w:tabs>
                <w:tab w:val="left" w:pos="314"/>
              </w:tabs>
              <w:spacing w:line="256" w:lineRule="auto"/>
              <w:ind w:left="0" w:firstLine="0"/>
              <w:contextualSpacing w:val="0"/>
              <w:rPr>
                <w:color w:val="000000"/>
                <w:lang w:eastAsia="en-US"/>
              </w:rPr>
            </w:pPr>
            <w:r w:rsidRPr="00FC7951">
              <w:rPr>
                <w:color w:val="000000"/>
                <w:lang w:eastAsia="en-US"/>
              </w:rPr>
              <w:t>закупочные процедуры Группы на оказание услуг банков, лизинговых компаний, страховых компаний и иных финансовых организаций**;</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8033859"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Финансово-экономический центр ПАО «Интер РАО»</w:t>
            </w:r>
          </w:p>
          <w:p w14:paraId="6E958E76" w14:textId="77777777" w:rsidR="00B06B6F" w:rsidRPr="00FC7951" w:rsidRDefault="00B06B6F" w:rsidP="00725F19">
            <w:pPr>
              <w:pStyle w:val="ac"/>
              <w:numPr>
                <w:ilvl w:val="0"/>
                <w:numId w:val="42"/>
              </w:numPr>
              <w:rPr>
                <w:i/>
                <w:iCs/>
                <w:color w:val="000000"/>
                <w:lang w:eastAsia="en-US"/>
              </w:rPr>
            </w:pPr>
            <w:r w:rsidRPr="00FC7951">
              <w:rPr>
                <w:i/>
                <w:iCs/>
                <w:color w:val="000000"/>
                <w:lang w:eastAsia="en-US"/>
              </w:rPr>
              <w:t>в части формирования методологии и контроля соответствия проводимой финансовой экспертизы действующим ВНД Группы</w:t>
            </w:r>
          </w:p>
        </w:tc>
      </w:tr>
      <w:tr w:rsidR="00B06B6F" w:rsidRPr="00FC7951" w14:paraId="394A2075" w14:textId="77777777" w:rsidTr="001746C7">
        <w:trPr>
          <w:trHeight w:val="112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2B3B263" w14:textId="77777777" w:rsidR="00B06B6F" w:rsidRPr="00FC7951" w:rsidRDefault="00B06B6F" w:rsidP="00725F19">
            <w:pPr>
              <w:spacing w:line="256" w:lineRule="auto"/>
              <w:rPr>
                <w:rFonts w:ascii="Times New Roman" w:hAnsi="Times New Roman" w:cs="Times New Roman"/>
                <w:color w:val="000000"/>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32CF554F" w14:textId="77777777" w:rsidR="00B06B6F" w:rsidRPr="00FC7951" w:rsidRDefault="00B06B6F" w:rsidP="00725F19">
            <w:pPr>
              <w:spacing w:line="256" w:lineRule="auto"/>
              <w:rPr>
                <w:rFonts w:ascii="Times New Roman" w:hAnsi="Times New Roman" w:cs="Times New Roman"/>
                <w:color w:val="000000"/>
              </w:rPr>
            </w:pPr>
          </w:p>
        </w:tc>
        <w:tc>
          <w:tcPr>
            <w:tcW w:w="3828" w:type="dxa"/>
            <w:tcBorders>
              <w:top w:val="single" w:sz="4" w:space="0" w:color="auto"/>
              <w:left w:val="single" w:sz="4" w:space="0" w:color="auto"/>
              <w:bottom w:val="single" w:sz="4" w:space="0" w:color="auto"/>
              <w:right w:val="single" w:sz="4" w:space="0" w:color="auto"/>
            </w:tcBorders>
            <w:vAlign w:val="center"/>
            <w:hideMark/>
          </w:tcPr>
          <w:p w14:paraId="57088D4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ООО «Интер РАО – Центр управления закупками» (СЗО)</w:t>
            </w:r>
          </w:p>
          <w:p w14:paraId="7E20542C" w14:textId="77777777" w:rsidR="00B06B6F" w:rsidRPr="00FC7951" w:rsidRDefault="00B06B6F" w:rsidP="00725F19">
            <w:pPr>
              <w:pStyle w:val="ac"/>
              <w:numPr>
                <w:ilvl w:val="0"/>
                <w:numId w:val="43"/>
              </w:numPr>
              <w:spacing w:line="256" w:lineRule="auto"/>
              <w:contextualSpacing w:val="0"/>
              <w:rPr>
                <w:color w:val="000000"/>
                <w:lang w:eastAsia="en-US"/>
              </w:rPr>
            </w:pPr>
            <w:r w:rsidRPr="00FC7951">
              <w:rPr>
                <w:i/>
                <w:iCs/>
                <w:color w:val="000000"/>
                <w:lang w:eastAsia="en-US"/>
              </w:rPr>
              <w:t>в части проведения экспертизы</w:t>
            </w:r>
            <w:r w:rsidRPr="00FC7951">
              <w:rPr>
                <w:color w:val="000000"/>
                <w:lang w:eastAsia="en-US"/>
              </w:rPr>
              <w:t xml:space="preserve"> </w:t>
            </w:r>
          </w:p>
        </w:tc>
      </w:tr>
      <w:tr w:rsidR="00B06B6F" w:rsidRPr="00FC7951" w14:paraId="4F0255A9" w14:textId="77777777" w:rsidTr="001746C7">
        <w:trPr>
          <w:trHeight w:val="760"/>
        </w:trPr>
        <w:tc>
          <w:tcPr>
            <w:tcW w:w="567" w:type="dxa"/>
            <w:tcBorders>
              <w:top w:val="single" w:sz="4" w:space="0" w:color="auto"/>
              <w:left w:val="single" w:sz="4" w:space="0" w:color="auto"/>
              <w:bottom w:val="single" w:sz="4" w:space="0" w:color="auto"/>
              <w:right w:val="single" w:sz="4" w:space="0" w:color="auto"/>
            </w:tcBorders>
            <w:vAlign w:val="center"/>
            <w:hideMark/>
          </w:tcPr>
          <w:p w14:paraId="6BCC07BC"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D51B255"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закупочные процедуры Группы, сумма по которым не превышает 250 млн. рублей без НДС в части, не противоречащей подпункту 1 настоящей таблицы</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2332440"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ООО «Интер РАО – Центр управления закупками» (СЗО)</w:t>
            </w:r>
          </w:p>
        </w:tc>
      </w:tr>
      <w:tr w:rsidR="00B06B6F" w:rsidRPr="00FC7951" w14:paraId="179AAEE7" w14:textId="77777777" w:rsidTr="001746C7">
        <w:trPr>
          <w:trHeight w:val="714"/>
        </w:trPr>
        <w:tc>
          <w:tcPr>
            <w:tcW w:w="567" w:type="dxa"/>
            <w:tcBorders>
              <w:top w:val="single" w:sz="4" w:space="0" w:color="auto"/>
              <w:left w:val="single" w:sz="4" w:space="0" w:color="auto"/>
              <w:bottom w:val="single" w:sz="4" w:space="0" w:color="auto"/>
              <w:right w:val="single" w:sz="4" w:space="0" w:color="auto"/>
            </w:tcBorders>
            <w:vAlign w:val="center"/>
            <w:hideMark/>
          </w:tcPr>
          <w:p w14:paraId="279D06E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E1E3224"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закупочные процедуры, осуществляемые для собственных нужд ДО, организаторами которых являются соответствующие ДО, сумма закупки не превышает 20 млн. рублей без НДС в части, не противоречащей подпунктам 1 и 2 настоящей таблицы</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7767CB2" w14:textId="77777777" w:rsidR="00B06B6F" w:rsidRPr="00FC7951" w:rsidRDefault="00B06B6F" w:rsidP="00725F19">
            <w:pPr>
              <w:spacing w:line="256" w:lineRule="auto"/>
              <w:rPr>
                <w:rFonts w:ascii="Times New Roman" w:hAnsi="Times New Roman" w:cs="Times New Roman"/>
                <w:color w:val="000000"/>
              </w:rPr>
            </w:pPr>
            <w:r w:rsidRPr="00FC7951">
              <w:rPr>
                <w:rFonts w:ascii="Times New Roman" w:hAnsi="Times New Roman" w:cs="Times New Roman"/>
                <w:color w:val="000000"/>
              </w:rPr>
              <w:t>Финансово-экономическая служба соответствующего ДО</w:t>
            </w:r>
          </w:p>
        </w:tc>
      </w:tr>
    </w:tbl>
    <w:p w14:paraId="24349FAC" w14:textId="77777777" w:rsidR="00B06B6F" w:rsidRPr="00FC7951" w:rsidRDefault="00B06B6F" w:rsidP="00725F19">
      <w:pPr>
        <w:jc w:val="both"/>
        <w:rPr>
          <w:rFonts w:ascii="Times New Roman" w:hAnsi="Times New Roman" w:cs="Times New Roman"/>
          <w:i/>
        </w:rPr>
      </w:pPr>
      <w:r w:rsidRPr="00FC7951">
        <w:rPr>
          <w:rFonts w:ascii="Times New Roman" w:hAnsi="Times New Roman" w:cs="Times New Roman"/>
          <w:i/>
        </w:rPr>
        <w:t>* здесь и далее под суммой закупки подразумевается сумма, установленная в ГКПЗ, при отсутствии цены ГКПЗ указывается средняя стоимость, предложенная участниками закупочной процедуры. Конкурентные закупочные процедуры, по итогам проведения которых планируется заключение рамочных соглашений и договоров (предварительные отборы), рассматриваются в случае, если сумма таких закупок в годовом выражении превышает 250 млн рублей без НДС; в качестве суммы закупки указывается лимит (максимальная сумма), который не должен быть превышен в течение всего срока действия рамочного соглашения-</w:t>
      </w:r>
    </w:p>
    <w:p w14:paraId="11DE5577" w14:textId="77777777" w:rsidR="00B06B6F" w:rsidRPr="00FC7951" w:rsidRDefault="00B06B6F" w:rsidP="00725F19">
      <w:pPr>
        <w:jc w:val="both"/>
        <w:rPr>
          <w:rFonts w:ascii="Times New Roman" w:hAnsi="Times New Roman" w:cs="Times New Roman"/>
          <w:i/>
        </w:rPr>
      </w:pPr>
      <w:r w:rsidRPr="00FC7951">
        <w:rPr>
          <w:rFonts w:ascii="Times New Roman" w:hAnsi="Times New Roman" w:cs="Times New Roman"/>
          <w:i/>
        </w:rPr>
        <w:t xml:space="preserve">** оценка финансовой устойчивости финансовых организаций проводится на основе Методики МТ-061 «Оценка и ограничение кредитного риска по операциям с банками-контрагентами и прочими финансовыми организациями» (в актуальной версии) </w:t>
      </w:r>
    </w:p>
    <w:p w14:paraId="198170C1" w14:textId="77777777" w:rsidR="00B06B6F" w:rsidRPr="00FC7951" w:rsidRDefault="00B06B6F" w:rsidP="00725F19">
      <w:pPr>
        <w:spacing w:after="200" w:line="276" w:lineRule="auto"/>
        <w:rPr>
          <w:rFonts w:ascii="Times New Roman" w:eastAsia="Calibri" w:hAnsi="Times New Roman" w:cs="Times New Roman"/>
          <w:b/>
        </w:rPr>
      </w:pPr>
      <w:r w:rsidRPr="00FC7951">
        <w:rPr>
          <w:rFonts w:ascii="Times New Roman" w:eastAsia="Calibri" w:hAnsi="Times New Roman" w:cs="Times New Roman"/>
          <w:b/>
        </w:rPr>
        <w:br w:type="page"/>
      </w:r>
    </w:p>
    <w:p w14:paraId="15CF4A46" w14:textId="77777777" w:rsidR="00B06B6F" w:rsidRPr="00FC7951" w:rsidRDefault="00B06B6F" w:rsidP="00725F19">
      <w:pPr>
        <w:jc w:val="both"/>
        <w:rPr>
          <w:rFonts w:ascii="Times New Roman" w:eastAsia="Calibri" w:hAnsi="Times New Roman" w:cs="Times New Roman"/>
          <w:b/>
        </w:rPr>
      </w:pPr>
      <w:r w:rsidRPr="00FC7951">
        <w:rPr>
          <w:rFonts w:ascii="Times New Roman" w:eastAsia="Calibri" w:hAnsi="Times New Roman" w:cs="Times New Roman"/>
          <w:b/>
        </w:rPr>
        <w:lastRenderedPageBreak/>
        <w:t>Функции контроля в части проведения финансово-экономической экспертизы</w:t>
      </w:r>
    </w:p>
    <w:p w14:paraId="4C610EB6" w14:textId="77777777" w:rsidR="00B06B6F" w:rsidRPr="00FC7951" w:rsidRDefault="00B06B6F" w:rsidP="00725F19">
      <w:pPr>
        <w:spacing w:after="200"/>
        <w:contextualSpacing/>
        <w:jc w:val="both"/>
        <w:rPr>
          <w:rFonts w:ascii="Times New Roman" w:eastAsia="Calibri" w:hAnsi="Times New Roman" w:cs="Times New Roman"/>
        </w:rPr>
      </w:pPr>
    </w:p>
    <w:p w14:paraId="427E2732"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Для целей оперативного мониторинга и анализа эффективности мероприятий по проведению финансово-экономической экспертизы ООО «ИНТЕР РАО – Центр управления закупками» (СЗО) консолидирует информацию о результатах финансово-экономической экспертизы по закупочным процедурам, организованным ООО «ИНТЕР РАО – Центр управления закупками» для нужд компаний Группы «Интер РАО».</w:t>
      </w:r>
    </w:p>
    <w:p w14:paraId="7CB2832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 xml:space="preserve">По итогам каждого полугодия в срок не позднее 31 августа отчетного года для первого полугодия отчетного года и не позднее 28 февраля последующего года для второго полугодия отчетного года ООО «ИНТЕР РАО – Центр управления закупками» (СЗО) формирует и направляет официальным письмом в адрес руководителя Финансово-экономического центра ПАО «Интер РАО» отчет о проведенных финансово-экономических экспертизах по всем состоявшимся закупочным процедурам, организованным, ООО «ИНТЕР РАО – Центр управления закупками» (СЗО), на сумму свыше 30 млн. рублей без НДС. Отчет предоставляется в формате таблицы </w:t>
      </w:r>
      <w:r w:rsidRPr="00FC7951">
        <w:rPr>
          <w:rFonts w:ascii="Times New Roman" w:eastAsia="Calibri" w:hAnsi="Times New Roman" w:cs="Times New Roman"/>
          <w:lang w:val="en-US"/>
        </w:rPr>
        <w:t>MS</w:t>
      </w:r>
      <w:r w:rsidRPr="00FC7951">
        <w:rPr>
          <w:rFonts w:ascii="Times New Roman" w:eastAsia="Calibri" w:hAnsi="Times New Roman" w:cs="Times New Roman"/>
        </w:rPr>
        <w:t xml:space="preserve"> </w:t>
      </w:r>
      <w:r w:rsidRPr="00FC7951">
        <w:rPr>
          <w:rFonts w:ascii="Times New Roman" w:eastAsia="Calibri" w:hAnsi="Times New Roman" w:cs="Times New Roman"/>
          <w:lang w:val="en-US"/>
        </w:rPr>
        <w:t>EXCEL</w:t>
      </w:r>
      <w:r w:rsidRPr="00FC7951">
        <w:rPr>
          <w:rFonts w:ascii="Times New Roman" w:eastAsia="Calibri" w:hAnsi="Times New Roman" w:cs="Times New Roman"/>
        </w:rPr>
        <w:t xml:space="preserve"> и по каждой закупочной процедуре содержит следующие поля:</w:t>
      </w:r>
    </w:p>
    <w:p w14:paraId="675E4EC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p>
    <w:p w14:paraId="2800F971"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Наименование закупочной процедуры (Лот №);</w:t>
      </w:r>
    </w:p>
    <w:p w14:paraId="486E3306"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Стоимость, предложенная победителем (тыс. рублей без НДС);</w:t>
      </w:r>
    </w:p>
    <w:p w14:paraId="46A85841"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Победитель закупочной процедуры (ИНН);</w:t>
      </w:r>
    </w:p>
    <w:p w14:paraId="434E7EBE"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 xml:space="preserve">Экспертная оценка победителя в рамках </w:t>
      </w:r>
      <w:proofErr w:type="spellStart"/>
      <w:r w:rsidRPr="00FC7951">
        <w:rPr>
          <w:rFonts w:ascii="Times New Roman" w:eastAsia="Calibri" w:hAnsi="Times New Roman" w:cs="Times New Roman"/>
        </w:rPr>
        <w:t>финэкспертизы</w:t>
      </w:r>
      <w:proofErr w:type="spellEnd"/>
      <w:r w:rsidRPr="00FC7951">
        <w:rPr>
          <w:rFonts w:ascii="Times New Roman" w:eastAsia="Calibri" w:hAnsi="Times New Roman" w:cs="Times New Roman"/>
        </w:rPr>
        <w:t xml:space="preserve"> (от 1 до 5);</w:t>
      </w:r>
    </w:p>
    <w:p w14:paraId="356123A7" w14:textId="77777777" w:rsidR="00B06B6F" w:rsidRPr="00FC7951" w:rsidRDefault="00B06B6F" w:rsidP="00725F19">
      <w:pPr>
        <w:numPr>
          <w:ilvl w:val="0"/>
          <w:numId w:val="22"/>
        </w:numPr>
        <w:tabs>
          <w:tab w:val="left" w:pos="1134"/>
        </w:tabs>
        <w:spacing w:after="200" w:line="240" w:lineRule="auto"/>
        <w:ind w:left="0" w:firstLine="709"/>
        <w:contextualSpacing/>
        <w:jc w:val="both"/>
        <w:rPr>
          <w:rFonts w:ascii="Times New Roman" w:eastAsia="Calibri" w:hAnsi="Times New Roman" w:cs="Times New Roman"/>
        </w:rPr>
      </w:pPr>
      <w:r w:rsidRPr="00FC7951">
        <w:rPr>
          <w:rFonts w:ascii="Times New Roman" w:eastAsia="Calibri" w:hAnsi="Times New Roman" w:cs="Times New Roman"/>
        </w:rPr>
        <w:t>Осуществлялись ли экспертные корректировки (да/нет).</w:t>
      </w:r>
    </w:p>
    <w:p w14:paraId="6AA19555"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p>
    <w:p w14:paraId="53EACBA6" w14:textId="77777777" w:rsidR="00B06B6F" w:rsidRPr="00FC7951" w:rsidRDefault="00B06B6F" w:rsidP="00725F19">
      <w:pPr>
        <w:tabs>
          <w:tab w:val="left" w:pos="1134"/>
        </w:tabs>
        <w:spacing w:after="200"/>
        <w:ind w:firstLine="709"/>
        <w:contextualSpacing/>
        <w:jc w:val="both"/>
        <w:rPr>
          <w:rFonts w:ascii="Times New Roman" w:eastAsia="Calibri" w:hAnsi="Times New Roman" w:cs="Times New Roman"/>
        </w:rPr>
      </w:pPr>
      <w:r w:rsidRPr="00FC7951">
        <w:rPr>
          <w:rFonts w:ascii="Times New Roman" w:eastAsia="Calibri" w:hAnsi="Times New Roman" w:cs="Times New Roman"/>
        </w:rPr>
        <w:t>При необходимости Финансово-экономическим центром ПАО «Интер РАО» может быть запрошена дополнительная информация по проведенным закупочным процедура</w:t>
      </w:r>
    </w:p>
    <w:p w14:paraId="71937D1D" w14:textId="77777777" w:rsidR="00B06B6F" w:rsidRPr="00FC7951" w:rsidRDefault="00B06B6F" w:rsidP="00725F19">
      <w:pPr>
        <w:spacing w:after="200"/>
        <w:contextualSpacing/>
        <w:jc w:val="both"/>
        <w:rPr>
          <w:rFonts w:ascii="Times New Roman" w:eastAsia="Calibri" w:hAnsi="Times New Roman" w:cs="Times New Roman"/>
        </w:rPr>
      </w:pPr>
    </w:p>
    <w:p w14:paraId="4233AB42" w14:textId="77777777" w:rsidR="00B06B6F" w:rsidRPr="00FC7951" w:rsidRDefault="00B06B6F" w:rsidP="00725F19">
      <w:pPr>
        <w:spacing w:after="200" w:line="276" w:lineRule="auto"/>
        <w:rPr>
          <w:rStyle w:val="10"/>
          <w:rFonts w:eastAsia="Calibri"/>
          <w:b w:val="0"/>
          <w:bCs/>
        </w:rPr>
      </w:pPr>
      <w:r w:rsidRPr="00FC7951">
        <w:rPr>
          <w:rFonts w:ascii="Times New Roman" w:eastAsia="Calibri" w:hAnsi="Times New Roman" w:cs="Times New Roman"/>
        </w:rPr>
        <w:br w:type="page"/>
      </w:r>
    </w:p>
    <w:p w14:paraId="533DE834" w14:textId="77777777" w:rsidR="00B06B6F" w:rsidRPr="00FC7951" w:rsidRDefault="00B06B6F" w:rsidP="00725F19">
      <w:pPr>
        <w:jc w:val="right"/>
        <w:rPr>
          <w:rStyle w:val="af2"/>
          <w:rFonts w:ascii="Times New Roman" w:hAnsi="Times New Roman" w:cs="Times New Roman"/>
          <w:bCs/>
          <w:i w:val="0"/>
          <w:iCs w:val="0"/>
        </w:rPr>
      </w:pPr>
      <w:bookmarkStart w:id="42" w:name="_Toc107244344"/>
      <w:bookmarkStart w:id="43" w:name="_Toc107247783"/>
      <w:r w:rsidRPr="00FC7951">
        <w:rPr>
          <w:rStyle w:val="af2"/>
          <w:rFonts w:ascii="Times New Roman" w:hAnsi="Times New Roman" w:cs="Times New Roman"/>
          <w:bCs/>
          <w:i w:val="0"/>
          <w:iCs w:val="0"/>
        </w:rPr>
        <w:lastRenderedPageBreak/>
        <w:t>Приложение 2</w:t>
      </w:r>
      <w:bookmarkEnd w:id="42"/>
      <w:bookmarkEnd w:id="43"/>
      <w:r w:rsidRPr="00FC7951">
        <w:rPr>
          <w:rStyle w:val="af2"/>
          <w:rFonts w:ascii="Times New Roman" w:hAnsi="Times New Roman" w:cs="Times New Roman"/>
          <w:bCs/>
          <w:i w:val="0"/>
          <w:iCs w:val="0"/>
        </w:rPr>
        <w:t xml:space="preserve"> </w:t>
      </w:r>
    </w:p>
    <w:p w14:paraId="0901FBF2" w14:textId="77777777" w:rsidR="00B06B6F" w:rsidRPr="00FC7951" w:rsidRDefault="00B06B6F" w:rsidP="00725F19">
      <w:pPr>
        <w:jc w:val="right"/>
        <w:rPr>
          <w:rStyle w:val="af2"/>
          <w:rFonts w:ascii="Times New Roman" w:hAnsi="Times New Roman" w:cs="Times New Roman"/>
          <w:bCs/>
          <w:i w:val="0"/>
          <w:iCs w:val="0"/>
        </w:rPr>
      </w:pPr>
      <w:bookmarkStart w:id="44" w:name="_Toc107244345"/>
      <w:bookmarkStart w:id="45" w:name="_Toc107247784"/>
      <w:r w:rsidRPr="00FC7951">
        <w:rPr>
          <w:rStyle w:val="af2"/>
          <w:rFonts w:ascii="Times New Roman" w:hAnsi="Times New Roman" w:cs="Times New Roman"/>
          <w:bCs/>
          <w:i w:val="0"/>
          <w:iCs w:val="0"/>
        </w:rPr>
        <w:t>к Методике МТ-065-4</w:t>
      </w:r>
      <w:bookmarkEnd w:id="44"/>
      <w:bookmarkEnd w:id="45"/>
    </w:p>
    <w:p w14:paraId="2C2B195B" w14:textId="77777777" w:rsidR="00B06B6F" w:rsidRPr="00FC7951" w:rsidRDefault="00B06B6F" w:rsidP="00725F19">
      <w:pPr>
        <w:spacing w:after="200"/>
        <w:contextualSpacing/>
        <w:jc w:val="right"/>
        <w:rPr>
          <w:rStyle w:val="10"/>
          <w:rFonts w:eastAsiaTheme="minorHAnsi"/>
        </w:rPr>
      </w:pPr>
    </w:p>
    <w:p w14:paraId="0C787282" w14:textId="77777777" w:rsidR="00B06B6F" w:rsidRPr="00FC7951" w:rsidRDefault="00B06B6F" w:rsidP="00725F19">
      <w:pPr>
        <w:spacing w:after="200"/>
        <w:contextualSpacing/>
        <w:jc w:val="both"/>
        <w:rPr>
          <w:rStyle w:val="10"/>
          <w:rFonts w:eastAsia="Calibri"/>
          <w:b w:val="0"/>
          <w:bCs/>
        </w:rPr>
      </w:pPr>
      <w:bookmarkStart w:id="46" w:name="_Toc107244346"/>
      <w:bookmarkStart w:id="47" w:name="_Toc107247785"/>
      <w:r w:rsidRPr="00FC7951">
        <w:rPr>
          <w:rStyle w:val="10"/>
          <w:rFonts w:eastAsiaTheme="minorHAnsi"/>
        </w:rPr>
        <w:t>Приложение 2 Алгоритм действия Эксперта при подготовке заключения по направлению финансово-экономической экспертизы с использованием шаблона «</w:t>
      </w:r>
      <w:proofErr w:type="spellStart"/>
      <w:r w:rsidRPr="00FC7951">
        <w:rPr>
          <w:rStyle w:val="10"/>
          <w:rFonts w:eastAsiaTheme="minorHAnsi"/>
        </w:rPr>
        <w:t>Финэкспертиза</w:t>
      </w:r>
      <w:proofErr w:type="spellEnd"/>
      <w:r w:rsidRPr="00FC7951">
        <w:rPr>
          <w:rStyle w:val="10"/>
          <w:rFonts w:eastAsiaTheme="minorHAnsi"/>
        </w:rPr>
        <w:t>.</w:t>
      </w:r>
      <w:proofErr w:type="spellStart"/>
      <w:r w:rsidRPr="00FC7951">
        <w:rPr>
          <w:rStyle w:val="10"/>
          <w:rFonts w:eastAsiaTheme="minorHAnsi"/>
          <w:lang w:val="en-US"/>
        </w:rPr>
        <w:t>xls</w:t>
      </w:r>
      <w:proofErr w:type="spellEnd"/>
      <w:r w:rsidRPr="00FC7951">
        <w:rPr>
          <w:rStyle w:val="10"/>
          <w:rFonts w:eastAsiaTheme="minorHAnsi"/>
        </w:rPr>
        <w:t>»</w:t>
      </w:r>
      <w:bookmarkEnd w:id="46"/>
      <w:bookmarkEnd w:id="47"/>
    </w:p>
    <w:p w14:paraId="03CD8C6B"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Формат заключения</w:t>
      </w:r>
    </w:p>
    <w:p w14:paraId="7F909845"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rPr>
        <w:t>Для реализации подхода к проведению финансово-экономической экспертизы согласно Методике Финансово-экономическим центром ПАО «Интер РАО» разработан шаблон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xml:space="preserve">» (файл в формате </w:t>
      </w:r>
      <w:r w:rsidRPr="00FC7951">
        <w:rPr>
          <w:rFonts w:ascii="Times New Roman" w:hAnsi="Times New Roman" w:cs="Times New Roman"/>
          <w:lang w:val="en-US"/>
        </w:rPr>
        <w:t>MS</w:t>
      </w:r>
      <w:r w:rsidRPr="00FC7951">
        <w:rPr>
          <w:rFonts w:ascii="Times New Roman" w:hAnsi="Times New Roman" w:cs="Times New Roman"/>
        </w:rPr>
        <w:t xml:space="preserve"> </w:t>
      </w:r>
      <w:r w:rsidRPr="00FC7951">
        <w:rPr>
          <w:rFonts w:ascii="Times New Roman" w:hAnsi="Times New Roman" w:cs="Times New Roman"/>
          <w:lang w:val="en-US"/>
        </w:rPr>
        <w:t>Excel</w:t>
      </w:r>
      <w:r w:rsidRPr="00FC7951">
        <w:rPr>
          <w:rFonts w:ascii="Times New Roman" w:hAnsi="Times New Roman" w:cs="Times New Roman"/>
        </w:rPr>
        <w:t>), куда внесены формулы для расчета финансовых показателей и весовые коэффициенты. В шаблоне также осуществляется расчет итогового показателя, используемого для ранжирования участников закупочной процедуры / присвоения итоговой оценки. Шаблон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прикладывается к Методике.</w:t>
      </w:r>
    </w:p>
    <w:p w14:paraId="692E8022"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rPr>
        <w:t>Заключение по направлению финансово-экономической экспертизы готовится Экспертом по форме, установленной в Приложении №3. Формат таблицы в приложении полностью соответствует формату шаблона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используемого для расчёта финансовых коэффициентов.</w:t>
      </w:r>
    </w:p>
    <w:p w14:paraId="37F675F0"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Оценка по критериям и подготовка заключения</w:t>
      </w:r>
    </w:p>
    <w:p w14:paraId="05174D0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Перед началом рассмотрения и оценки предложений участников закупочной процедуры Эксперт должен ознакомиться с условиями закупочной процедуры, изложенными в извещении о проведении закупочной процедуры и закупочной документации / конкурентной карте / пояснительной записке для заседания ЦЗК или протоколе ЦЗК. Эксперт должен проверить наличие и полноту документов, необходимых для проведения финансово-экономической экспертизы (</w:t>
      </w:r>
      <w:r w:rsidRPr="00FC7951">
        <w:rPr>
          <w:rFonts w:ascii="Times New Roman" w:hAnsi="Times New Roman" w:cs="Times New Roman"/>
          <w:bCs/>
        </w:rPr>
        <w:t>с учетом требований и ограничений, установленных действующим Законодательством</w:t>
      </w:r>
      <w:r w:rsidRPr="00FC7951">
        <w:rPr>
          <w:rFonts w:ascii="Times New Roman" w:hAnsi="Times New Roman" w:cs="Times New Roman"/>
        </w:rPr>
        <w:t>). Эксперт вправе предложить закупочной комиссии / ЦЗК / ЕИО Общества затребовать от любого участника закупочной процедуры предоставления дополнительных сведений, необходимых для проведения экспертизы (в соответствии с ограничениями, предусмотренными ВНД Группы, указанными в разделе 12 Методики). Такое предложение должно сопровождаться письменным обоснованием необходимости запрашиваемой информации для оценки.</w:t>
      </w:r>
    </w:p>
    <w:p w14:paraId="69F210E1"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Подготовка заключения начинается с внесения Экспертом исходных данных в шаблон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для осуществления оценки. Обязательными для заполнения являются следующие графы таблицы:</w:t>
      </w:r>
    </w:p>
    <w:p w14:paraId="067E68B3"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название участника;</w:t>
      </w:r>
    </w:p>
    <w:p w14:paraId="3A835027"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ИНН;</w:t>
      </w:r>
    </w:p>
    <w:p w14:paraId="5AA6B9B0"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регион;</w:t>
      </w:r>
    </w:p>
    <w:p w14:paraId="492E86C1"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дата регистрации;</w:t>
      </w:r>
    </w:p>
    <w:p w14:paraId="18F47095"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основной вид деятельности (ОКВЭД);</w:t>
      </w:r>
    </w:p>
    <w:p w14:paraId="748FCF21"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стоимость предложения, тыс. руб. без НДС</w:t>
      </w:r>
    </w:p>
    <w:p w14:paraId="4C0A1E5F"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стоимость предложения в пересчете на год, тыс. руб. без НДС (с учетом положений п. 2.5. настоящего Приложения)</w:t>
      </w:r>
    </w:p>
    <w:p w14:paraId="3B3C063E"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сумма задолженности по начисленным налогам, сборам и иным обязательным платежам, тыс. руб. (с учетом положений п. 2.6. настоящего Приложения)</w:t>
      </w:r>
    </w:p>
    <w:p w14:paraId="08C8494D" w14:textId="77777777" w:rsidR="00B06B6F" w:rsidRPr="00FC7951" w:rsidRDefault="00B06B6F" w:rsidP="00725F19">
      <w:pPr>
        <w:numPr>
          <w:ilvl w:val="0"/>
          <w:numId w:val="17"/>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данные бухгалтерской отчетности (в случае если предоставление документа не противоречит действующему Законодательству, в ином случае могут использоваться данные, представленные в информационно-аналитических системах «ГИР БО», «СПАРК» и др.)</w:t>
      </w:r>
    </w:p>
    <w:p w14:paraId="06B0BB1C"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Источниками информации при заполнении сводной таблицы для формирования итогового заключения служат бухгалтерская отчетность участника закупочной процедуры с подтверждением предоставления в ИФНС, подписанная и заверенная печатью промежуточная бухгалтерская отчетность (по состоянию на 31.03, 30.06, 30.09 текущего года, заверенная </w:t>
      </w:r>
      <w:r w:rsidRPr="00FC7951">
        <w:rPr>
          <w:rFonts w:ascii="Times New Roman" w:hAnsi="Times New Roman" w:cs="Times New Roman"/>
        </w:rPr>
        <w:lastRenderedPageBreak/>
        <w:t>Обществом), копия устава, копия выписки из ЕГРЮЛ/ЕГРИП, анкета, а также оферта участника закупочной процедуры.</w:t>
      </w:r>
    </w:p>
    <w:p w14:paraId="4506D420"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В случае, если участником закупочной процедуры является иностранное юридическое лицо и/или стоимость (ее часть) предложения участника (в том числе российского юридического лица) выражена в иностранной валюте, в целях применения положений Методики и обеспечения сравнимости показателей может потребоваться пересчет значений и сумм, указанных в предоставленных участником документах (в частности, данные бухгалтерской отчетности и/или оферты), в рубли по курсу Центрального Банка РФ на дату составления ПВК (ПВП, ППП, проведения процедуры переторжки) / протокола ЦЗК или пояснительной записки к заседанию ЦЗК / конкурентной карты или иного аналогичного документа, утвержденного ВНД Общества.</w:t>
      </w:r>
    </w:p>
    <w:p w14:paraId="320496E2"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Факт такого пересчета, а также реквизиты документа, на дату которого он осуществлен, должны быть отражены в экспертном заключении.</w:t>
      </w:r>
    </w:p>
    <w:p w14:paraId="751D2BF9"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При заполнении графы «Стоимость предложения в пересчете на год, тыс. руб. без НДС» стоимость предложения участника пересчитывается в годовое выражение с учетом положений пункта 8.1. Методики. В случае, если такой пересчет не осуществляется, в том числе если срок реализации договора менее 1 (одного) календарного года, в указанной графе дублируются данные графы «Стоимость предложения, тыс. руб. без НДС».</w:t>
      </w:r>
    </w:p>
    <w:p w14:paraId="7B2CE16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Источником информации при заполнении графы «Сумма задолженности по начисленным налогам, сборам и иным обязательным платежам, тыс. руб.» служит копия подписанной и заверенной печатью налогового органа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(в случае если предоставление документа не противоречит действующему Законодательству) по состоянию на дату, предшествующую не более чем на 60 (шестьдесят) календарных дней до дня размещения извещения / конкурентной карты / протокола ЦЗК или пояснительной записки к заседанию ЦЗК; в случае, если указанные справки предоставляются в форме электронного документа в формате </w:t>
      </w:r>
      <w:r w:rsidRPr="00FC7951">
        <w:rPr>
          <w:rFonts w:ascii="Times New Roman" w:hAnsi="Times New Roman" w:cs="Times New Roman"/>
          <w:lang w:val="en-US"/>
        </w:rPr>
        <w:t>pdf</w:t>
      </w:r>
      <w:r w:rsidRPr="00FC7951">
        <w:rPr>
          <w:rFonts w:ascii="Times New Roman" w:hAnsi="Times New Roman" w:cs="Times New Roman"/>
        </w:rPr>
        <w:t xml:space="preserve">, такие документы должны содержать усиленную квалифицированную электронную подпись налогового органа и ее визуализацию. </w:t>
      </w:r>
    </w:p>
    <w:p w14:paraId="03D0D0B8"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наличия задолженности по начисленным налогам, сборам и иным обязательным платежам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 а Эксперт внести в графу «Сумма задолженности по начисленным налогам, сборам и иным обязательным платежам, тыс. руб.» указанную в справке сумму задолженности в тысячах российских рублей.</w:t>
      </w:r>
    </w:p>
    <w:p w14:paraId="7CE3C648"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отсутствия задолженности / если участником является иностранное юридическое лицо / наличия подписанной участником на ЭТП декларации об отсутствии задолженности в размере более 25% валюты баланса для закупок, в графу «Сумма задолженности по начисленным налогам, сборам и иным обязательным платежам, тыс. руб.» Эксперт вносит 0.</w:t>
      </w:r>
    </w:p>
    <w:p w14:paraId="493AB52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При наличии оплаченного доступа к информационно-аналитическим системам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(системам, содержащим данные, включая регистрационные и бухгалтерские, по большинству российских юридических лиц) и доступа к сети интернет, в шаблоне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предусмотрена возможность автоматического заполнения формы.</w:t>
      </w:r>
    </w:p>
    <w:p w14:paraId="6C43D8A7"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Для этого на листе шаблона с соответствующим порядковым номером участника вводится его идентификационный номер налогоплательщика (ИНН), после этого при нажатии ссылки «Загрузить данные», поля сводной формы заполняются автоматически.</w:t>
      </w:r>
    </w:p>
    <w:p w14:paraId="01DB6FD0"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отсутствия каких-либо регистрационных или бухгалтерских данных по участнику закупочной процедуры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 xml:space="preserve">-Интерфакс» </w:t>
      </w:r>
      <w:r w:rsidRPr="00FC7951">
        <w:rPr>
          <w:rFonts w:ascii="Times New Roman" w:hAnsi="Times New Roman" w:cs="Times New Roman"/>
        </w:rPr>
        <w:lastRenderedPageBreak/>
        <w:t>и др. (как правило, это бухгалтерская отчетность за последний отчетный период) недостающая информация вносится в шаблон непосредственно Экспертом (в случае если предоставление документа не противоречит действующему Законодательству).</w:t>
      </w:r>
    </w:p>
    <w:p w14:paraId="5A5D3CD4"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Учитывая тот факт, что источником информации в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являются официальные государственные органы, такие как Федеральная налоговая служба, Федеральная служба государственной статистики, Федеральная служба по финансовым рынкам, Центральный Банк России и др., – допускается использовать при проведении финансово-экономической экспертизы данные бухгалтерской отчетности, представленные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w:t>
      </w:r>
    </w:p>
    <w:p w14:paraId="45F368AF"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расхождения данных бухгалтерской отчетности, предоставленных участником закупочной процедуры, и данных, представленных в информационно-аналитических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для расчета финансовых показателей должны использоваться данные, предоставленные непосредственно участником закупочной процедуры. При этом факт расхождения отражается Экспертом в его экспертном заключении.</w:t>
      </w:r>
    </w:p>
    <w:p w14:paraId="2603DFFC"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случае проведения закупочных процедур, в целях проведения оценки принимаются данные годовой бухгалтерской отчетности, представленные в системах «ГИР БО», «</w:t>
      </w:r>
      <w:proofErr w:type="spellStart"/>
      <w:r w:rsidRPr="00FC7951">
        <w:rPr>
          <w:rFonts w:ascii="Times New Roman" w:hAnsi="Times New Roman" w:cs="Times New Roman"/>
        </w:rPr>
        <w:t>Спарк</w:t>
      </w:r>
      <w:proofErr w:type="spellEnd"/>
      <w:r w:rsidRPr="00FC7951">
        <w:rPr>
          <w:rFonts w:ascii="Times New Roman" w:hAnsi="Times New Roman" w:cs="Times New Roman"/>
        </w:rPr>
        <w:t>-Интерфакс» и др. Сверка данных бухгалтерской отчетности, представленных в различных источниках, в таких случаях не осуществляется.</w:t>
      </w:r>
    </w:p>
    <w:p w14:paraId="7DB49B4A"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 основании данных бухгалтерской отчетности в шаблоне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рассчитываются финансовые коэффициенты и в зависимости от принимаемых значений им присваиваются баллы от 0 до 1.</w:t>
      </w:r>
    </w:p>
    <w:p w14:paraId="14B6506F"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Затем Эксперт качественно оценивает бизнес-риски, в числе которых:</w:t>
      </w:r>
    </w:p>
    <w:p w14:paraId="31387131"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соответствие основного вида деятельности по классификации ОКВЭД;</w:t>
      </w:r>
    </w:p>
    <w:p w14:paraId="5D5B277C"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численность персонала;</w:t>
      </w:r>
    </w:p>
    <w:p w14:paraId="0D06B337"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регион ведения деятельности;</w:t>
      </w:r>
    </w:p>
    <w:p w14:paraId="5515FF6C" w14:textId="77777777" w:rsidR="00B06B6F" w:rsidRPr="00FC7951" w:rsidRDefault="00B06B6F" w:rsidP="00725F19">
      <w:pPr>
        <w:numPr>
          <w:ilvl w:val="0"/>
          <w:numId w:val="18"/>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финансовые условия сделки.</w:t>
      </w:r>
    </w:p>
    <w:p w14:paraId="47F4C62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Оценки по критериям «соответствие основного вида деятельности по классификации ОКВЭД», «численность персонала», «соответствие региона ведения деятельности» напрямую не участвуют в формировании итоговой оценки по направлению финансово-экономической экспертизы. Однако, в случае если, по мнению эксперта, участие в закупочной процедуре при значительном несоответствии участника по данным критериям может существенно повлиять на его финансовую устойчивость, итоговая оценка может быть понижена экспертом, но не более чем на 0,5 балла по пятибалльной шкале.</w:t>
      </w:r>
    </w:p>
    <w:p w14:paraId="14627992" w14:textId="77777777" w:rsidR="00B06B6F" w:rsidRPr="00FC7951" w:rsidRDefault="00B06B6F" w:rsidP="00725F19">
      <w:pPr>
        <w:numPr>
          <w:ilvl w:val="2"/>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Финансовые условия сделки оцениваются в разрезе следующих основных вариантов:</w:t>
      </w:r>
    </w:p>
    <w:p w14:paraId="20DEA0BF"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без предоплаты;</w:t>
      </w:r>
    </w:p>
    <w:p w14:paraId="17C97689"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полное покрытие аванса независимой гарантией;</w:t>
      </w:r>
    </w:p>
    <w:p w14:paraId="26D5339F" w14:textId="77777777" w:rsidR="00B06B6F" w:rsidRPr="00FC7951" w:rsidRDefault="00B06B6F" w:rsidP="00725F19">
      <w:pPr>
        <w:numPr>
          <w:ilvl w:val="0"/>
          <w:numId w:val="19"/>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аванс без покрытия независимой гарантией.</w:t>
      </w:r>
    </w:p>
    <w:p w14:paraId="5C2A2A09"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 первому варианту «без предоплаты» относятся также случаи, когда договором предусмотрен ряд последовательных платежей в пользу участника закупочной процедуры, однако при этом каждый такой платеж осуществляется по факту осуществленной поставки или оказанной услуги.</w:t>
      </w:r>
    </w:p>
    <w:p w14:paraId="589B7BDA"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 второму варианту «полное покрытие аванса независимой гарантией» относятся также случаи, когда договором предусмотрен ряд последовательных платежей в пользу участника закупочной процедуры, при этом каждый такой платеж, в случае если он осуществляется авансом, покрыт независимой гарантией.</w:t>
      </w:r>
    </w:p>
    <w:p w14:paraId="5FEB3934" w14:textId="77777777" w:rsidR="00B06B6F" w:rsidRPr="00FC7951" w:rsidRDefault="00B06B6F" w:rsidP="00725F19">
      <w:pPr>
        <w:numPr>
          <w:ilvl w:val="3"/>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lastRenderedPageBreak/>
        <w:t>Случай, когда какой-либо авансовый платеж или его часть в пользу участника закупочной процедуры планируется осуществить без покрытия независимой гарантией, такой вариант должен рассматриваться как «аванс без покрытия независимой гарантией».</w:t>
      </w:r>
    </w:p>
    <w:p w14:paraId="5DFE6604"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Срок существования участников закупочной процедуры определяется в шаблоне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автоматически на основании заполненных граф с датой регистрации и датой подготовки заключения.</w:t>
      </w:r>
    </w:p>
    <w:p w14:paraId="039C976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В шаблоне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также реализовано сопоставление суммы планируемого договора (в годовом выражении с учетом п. 8.1. Методики) и величины аванса, указанной в оферте / графике оплаты, участника закупочной процедуры с его активами и годовой выручкой.</w:t>
      </w:r>
    </w:p>
    <w:p w14:paraId="2968E5C5"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Оценка по критериям «срок существования» и «соответствие масштабов деятельности участника закупочной процедуры сумме закупки» осуществляется автоматически.</w:t>
      </w:r>
    </w:p>
    <w:p w14:paraId="38437582"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Когда в шаблон «</w:t>
      </w:r>
      <w:proofErr w:type="spellStart"/>
      <w:r w:rsidRPr="00FC7951">
        <w:rPr>
          <w:rFonts w:ascii="Times New Roman" w:hAnsi="Times New Roman" w:cs="Times New Roman"/>
        </w:rPr>
        <w:t>Финэкспертиза</w:t>
      </w:r>
      <w:proofErr w:type="spellEnd"/>
      <w:r w:rsidRPr="00FC7951">
        <w:rPr>
          <w:rFonts w:ascii="Times New Roman" w:hAnsi="Times New Roman" w:cs="Times New Roman"/>
        </w:rPr>
        <w:t>.</w:t>
      </w:r>
      <w:proofErr w:type="spellStart"/>
      <w:r w:rsidRPr="00FC7951">
        <w:rPr>
          <w:rFonts w:ascii="Times New Roman" w:hAnsi="Times New Roman" w:cs="Times New Roman"/>
          <w:lang w:val="en-US"/>
        </w:rPr>
        <w:t>xls</w:t>
      </w:r>
      <w:proofErr w:type="spellEnd"/>
      <w:r w:rsidRPr="00FC7951">
        <w:rPr>
          <w:rFonts w:ascii="Times New Roman" w:hAnsi="Times New Roman" w:cs="Times New Roman"/>
        </w:rPr>
        <w:t xml:space="preserve">» внесены (с учетом особенностей и ограничений, описанных в </w:t>
      </w:r>
      <w:proofErr w:type="spellStart"/>
      <w:r w:rsidRPr="00FC7951">
        <w:rPr>
          <w:rFonts w:ascii="Times New Roman" w:hAnsi="Times New Roman" w:cs="Times New Roman"/>
        </w:rPr>
        <w:t>пп</w:t>
      </w:r>
      <w:proofErr w:type="spellEnd"/>
      <w:r w:rsidRPr="00FC7951">
        <w:rPr>
          <w:rFonts w:ascii="Times New Roman" w:hAnsi="Times New Roman" w:cs="Times New Roman"/>
        </w:rPr>
        <w:t xml:space="preserve">. 2.2-2.7, </w:t>
      </w:r>
      <w:proofErr w:type="spellStart"/>
      <w:r w:rsidRPr="00FC7951">
        <w:rPr>
          <w:rFonts w:ascii="Times New Roman" w:hAnsi="Times New Roman" w:cs="Times New Roman"/>
        </w:rPr>
        <w:t>пп</w:t>
      </w:r>
      <w:proofErr w:type="spellEnd"/>
      <w:r w:rsidRPr="00FC7951">
        <w:rPr>
          <w:rFonts w:ascii="Times New Roman" w:hAnsi="Times New Roman" w:cs="Times New Roman"/>
        </w:rPr>
        <w:t>. 4.3 настоящего Приложения):</w:t>
      </w:r>
    </w:p>
    <w:p w14:paraId="0EFFC5E2"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регистрационные данные участника закупочной процедуры (название участника, ИНН, регион; дата регистрации, основной вид деятельности),</w:t>
      </w:r>
    </w:p>
    <w:p w14:paraId="055737C9"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данные бухгалтерской отчетности / налоговых деклараций,</w:t>
      </w:r>
    </w:p>
    <w:p w14:paraId="7E03D4D6"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проставлены галочки в соответствующих полях формы для условий оплаты,</w:t>
      </w:r>
    </w:p>
    <w:p w14:paraId="74090622"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занесена сумма задолженности по начисленным налогам, сборам и иным обязательным платежам в тыс. руб.,</w:t>
      </w:r>
    </w:p>
    <w:p w14:paraId="193D31E0" w14:textId="77777777" w:rsidR="00B06B6F" w:rsidRPr="00FC7951" w:rsidRDefault="00B06B6F" w:rsidP="00725F19">
      <w:pPr>
        <w:numPr>
          <w:ilvl w:val="0"/>
          <w:numId w:val="20"/>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указана сумма планируемого договора, в том числе в годовом выражении с учетом п. 8.1 Методики</w:t>
      </w:r>
    </w:p>
    <w:p w14:paraId="5BAF2B06" w14:textId="77777777" w:rsidR="00B06B6F" w:rsidRPr="00FC7951" w:rsidRDefault="00B06B6F" w:rsidP="00725F19">
      <w:pPr>
        <w:tabs>
          <w:tab w:val="left" w:pos="1134"/>
        </w:tabs>
        <w:ind w:firstLine="709"/>
        <w:jc w:val="both"/>
        <w:rPr>
          <w:rFonts w:ascii="Times New Roman" w:hAnsi="Times New Roman" w:cs="Times New Roman"/>
        </w:rPr>
      </w:pPr>
      <w:r w:rsidRPr="00FC7951">
        <w:rPr>
          <w:rFonts w:ascii="Times New Roman" w:hAnsi="Times New Roman" w:cs="Times New Roman"/>
        </w:rPr>
        <w:t xml:space="preserve">осуществляется автоматическая оценка участников закупочной процедуры на основе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параметры которого (баллы и веса) определены Методикой.</w:t>
      </w:r>
    </w:p>
    <w:p w14:paraId="6A127E69"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rPr>
      </w:pPr>
      <w:r w:rsidRPr="00FC7951">
        <w:rPr>
          <w:rFonts w:ascii="Times New Roman" w:hAnsi="Times New Roman" w:cs="Times New Roman"/>
          <w:b/>
        </w:rPr>
        <w:t>Формирование окончательного решения</w:t>
      </w:r>
    </w:p>
    <w:p w14:paraId="62887E4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На отборочной стадии Эксперт, используя результаты совместного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 xml:space="preserve">-весового подхода и системы стоп и риск-факторов, согласно алгоритму, описанному в Методике, принимает решение о соответствии / несоответствии участников закупочной процедуры требованиям ВНД Общества и/или закупочной документации, в том числе настоящей Методики с точки зрения финансово-экономических критериев. В случае если на основании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и системы стоп и риск-факторов автоматически сформировалась оценка «не соответствует» или возникла пограничная ситуация, однако если при этом, по мнению Эксперта, имеются достаточные основания для повышения оценки до «соответствует» и допуска участника до оценочной стадии, Эксперт должен внести необходимые корректировки с обоснованием своей позиции в экспертном заключении. Итоговая оценка на оценочной стадии за исключением случаев, описанных в п. 3.7. настоящего Приложения, при этом не должна превышать 1 по пятибалльной шкале (минимально допустимый уровень).</w:t>
      </w:r>
    </w:p>
    <w:p w14:paraId="296228F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На оценочной стадии финансово-экономической экспертизы предложения участников закупочной процедуры, прошедших отборочную стадию, ранжируются между собой. В основе количественной меры для сравнения предложений участников в рамках финансово-экономической экспертизы, также используется первичный балл от 0 до 1, полученный в результате применения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-весового подхода. Все участники, набравшие более 0,45 баллов по шкале от 0 до 1 (по которым принято положительное решение на отборочной стадии) ранжируются / получают итоговую оценку с присвоением оценки по пятибалльной шкале от 0 до 5. Порядок перевода шкалы от 0 до 1 в шкалу от 0 до 5 установлен Методикой.</w:t>
      </w:r>
    </w:p>
    <w:p w14:paraId="35CB43A8"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За Экспертом на оценочной стадии закрепляется право в отдельных случаях (см. таблицу Алгоритм принятия решения) повышать или понижать, если иное специально не оговорено в Методике, не более чем на 1 балл по пятибалльной шкале оценку, полученную автоматически.</w:t>
      </w:r>
    </w:p>
    <w:p w14:paraId="51EF646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 целью расширения доступа субъектов малого и среднего предпринимательства к участию в закупочных процедурах, организованных Обществом, когда для оказания услуги и/или осуществления поставки от участников закупочной процедуры не требуется наличие значительных </w:t>
      </w:r>
      <w:r w:rsidRPr="00FC7951">
        <w:rPr>
          <w:rFonts w:ascii="Times New Roman" w:hAnsi="Times New Roman" w:cs="Times New Roman"/>
        </w:rPr>
        <w:lastRenderedPageBreak/>
        <w:t xml:space="preserve">финансовых и материально-технических ресурсов, допускается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 оценку – а именно, для участников - субъектов малого и среднего предпринимательства, получивших оценку «не соответствует» или 0 (ноль) баллов по причине несоответствия масштабов деятельности участника плановой стоимости закупки, разрешается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 оценку до «соответствует», и допускать таких участников до оценочной стадии, итоговая оценка при этом не должна превышать 1 по пятибалльной шкале (минимально допустимый уровень). К таким случаям могут относиться закупочные процедуры по перечисленным ниже статьям расходов Общества, плановая стоимость закупки по которым не превышает 30 млн. рублей без НДС:</w:t>
      </w:r>
    </w:p>
    <w:p w14:paraId="67EB1A6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административно-хозяйственные расходы (поставки и услуги);</w:t>
      </w:r>
    </w:p>
    <w:p w14:paraId="4161E074"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охрана (услуги);</w:t>
      </w:r>
    </w:p>
    <w:p w14:paraId="62EC8A98"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консультационные и информационные расходы (поставки и услуги);</w:t>
      </w:r>
    </w:p>
    <w:p w14:paraId="278DDBDC"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аудит и оценка (поставки и услуги);</w:t>
      </w:r>
    </w:p>
    <w:p w14:paraId="08385D51"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юридические услуги (поставки и услуги);</w:t>
      </w:r>
    </w:p>
    <w:p w14:paraId="7560B075"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корпоративное управление (поставки и услуги);</w:t>
      </w:r>
    </w:p>
    <w:p w14:paraId="195E7603"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расходы на персонал (поставки и услуги);</w:t>
      </w:r>
    </w:p>
    <w:p w14:paraId="57E20E28"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реклама и маркетинг (поставки и услуги).</w:t>
      </w:r>
    </w:p>
    <w:p w14:paraId="1645EFCC"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По результатам проведенной финансово-экономической экспертизы Эксперт по каждому участнику закупочной процедуры готовит при необходимости, обусловленной требованиями ВНД Общества и/или закупочной документации, экспертное заключение с указанием наиболее значимых факторов, повлиявших на итоговую оценку.</w:t>
      </w:r>
    </w:p>
    <w:p w14:paraId="140D21B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В случае </w:t>
      </w:r>
      <w:r w:rsidRPr="00FC7951">
        <w:rPr>
          <w:rFonts w:ascii="Times New Roman" w:hAnsi="Times New Roman" w:cs="Times New Roman"/>
          <w:b/>
        </w:rPr>
        <w:t>если решение, принятое Экспертом в рамках финансово-экономической экспертизы, отличается от принятого автоматически</w:t>
      </w:r>
      <w:r w:rsidRPr="00FC7951">
        <w:rPr>
          <w:rFonts w:ascii="Times New Roman" w:hAnsi="Times New Roman" w:cs="Times New Roman"/>
        </w:rPr>
        <w:t xml:space="preserve"> в рамках </w:t>
      </w:r>
      <w:proofErr w:type="spellStart"/>
      <w:r w:rsidRPr="00FC7951">
        <w:rPr>
          <w:rFonts w:ascii="Times New Roman" w:hAnsi="Times New Roman" w:cs="Times New Roman"/>
        </w:rPr>
        <w:t>балльно</w:t>
      </w:r>
      <w:proofErr w:type="spellEnd"/>
      <w:r w:rsidRPr="00FC7951">
        <w:rPr>
          <w:rFonts w:ascii="Times New Roman" w:hAnsi="Times New Roman" w:cs="Times New Roman"/>
        </w:rPr>
        <w:t xml:space="preserve">-весового подхода, определенного настоящей Методикой, то </w:t>
      </w:r>
      <w:r w:rsidRPr="00FC7951">
        <w:rPr>
          <w:rFonts w:ascii="Times New Roman" w:hAnsi="Times New Roman" w:cs="Times New Roman"/>
          <w:b/>
        </w:rPr>
        <w:t>формирование Экспертом письменного заключения</w:t>
      </w:r>
      <w:r w:rsidRPr="00FC7951">
        <w:rPr>
          <w:rFonts w:ascii="Times New Roman" w:hAnsi="Times New Roman" w:cs="Times New Roman"/>
        </w:rPr>
        <w:t xml:space="preserve"> с указанием факторов, повлиявших на итоговую оценку, </w:t>
      </w:r>
      <w:r w:rsidRPr="00FC7951">
        <w:rPr>
          <w:rFonts w:ascii="Times New Roman" w:hAnsi="Times New Roman" w:cs="Times New Roman"/>
          <w:b/>
        </w:rPr>
        <w:t>является обязательным</w:t>
      </w:r>
      <w:r w:rsidRPr="00FC7951">
        <w:rPr>
          <w:rFonts w:ascii="Times New Roman" w:hAnsi="Times New Roman" w:cs="Times New Roman"/>
        </w:rPr>
        <w:t>.</w:t>
      </w:r>
    </w:p>
    <w:p w14:paraId="56D3B463"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В случае если участник закупочной процедуры входит в группу компаний, о которой достоверно известно, что данная группа обладает достаточной финансовой устойчивостью (что подтверждено международным кредитным рейтингом на уровне или выше BB- по шкале </w:t>
      </w:r>
      <w:proofErr w:type="spellStart"/>
      <w:r w:rsidRPr="00FC7951">
        <w:rPr>
          <w:rFonts w:ascii="Times New Roman" w:hAnsi="Times New Roman" w:cs="Times New Roman"/>
        </w:rPr>
        <w:t>Fitch</w:t>
      </w:r>
      <w:proofErr w:type="spellEnd"/>
      <w:r w:rsidRPr="00FC7951">
        <w:rPr>
          <w:rFonts w:ascii="Times New Roman" w:hAnsi="Times New Roman" w:cs="Times New Roman"/>
        </w:rPr>
        <w:t xml:space="preserve">/S&amp;P или Ba3 по шкале </w:t>
      </w:r>
      <w:proofErr w:type="spellStart"/>
      <w:r w:rsidRPr="00FC7951">
        <w:rPr>
          <w:rFonts w:ascii="Times New Roman" w:hAnsi="Times New Roman" w:cs="Times New Roman"/>
        </w:rPr>
        <w:t>Moody’s</w:t>
      </w:r>
      <w:proofErr w:type="spellEnd"/>
      <w:r w:rsidRPr="00FC7951">
        <w:rPr>
          <w:rFonts w:ascii="Times New Roman" w:hAnsi="Times New Roman" w:cs="Times New Roman"/>
        </w:rPr>
        <w:t>, в том числе последним действовавшим на момент отзыва/приостановки/снижения по причине введения в отношении участника и/или РФ международных ограничений (применимо в течение 1 года с даты отзыва/приостановки/снижения); или российским рейтингом по национальной шкале на уровне или выше А+(</w:t>
      </w:r>
      <w:r w:rsidRPr="00FC7951">
        <w:rPr>
          <w:rFonts w:ascii="Times New Roman" w:hAnsi="Times New Roman" w:cs="Times New Roman"/>
          <w:lang w:val="en-US"/>
        </w:rPr>
        <w:t>RU</w:t>
      </w:r>
      <w:r w:rsidRPr="00FC7951">
        <w:rPr>
          <w:rFonts w:ascii="Times New Roman" w:hAnsi="Times New Roman" w:cs="Times New Roman"/>
        </w:rPr>
        <w:t xml:space="preserve">) по шкале АКРА или </w:t>
      </w:r>
      <w:proofErr w:type="spellStart"/>
      <w:r w:rsidRPr="00FC7951">
        <w:rPr>
          <w:rFonts w:ascii="Times New Roman" w:hAnsi="Times New Roman" w:cs="Times New Roman"/>
          <w:color w:val="000000"/>
        </w:rPr>
        <w:t>ruА</w:t>
      </w:r>
      <w:proofErr w:type="spellEnd"/>
      <w:r w:rsidRPr="00FC7951">
        <w:rPr>
          <w:rFonts w:ascii="Times New Roman" w:hAnsi="Times New Roman" w:cs="Times New Roman"/>
          <w:color w:val="000000"/>
        </w:rPr>
        <w:t>+ по шкале Эксперт РА</w:t>
      </w:r>
      <w:r w:rsidRPr="00FC7951">
        <w:rPr>
          <w:rFonts w:ascii="Times New Roman" w:hAnsi="Times New Roman" w:cs="Times New Roman"/>
        </w:rPr>
        <w:t xml:space="preserve">) допускается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повышать</w:t>
      </w:r>
      <w:r w:rsidRPr="00FC7951">
        <w:rPr>
          <w:rFonts w:ascii="Times New Roman" w:hAnsi="Times New Roman" w:cs="Times New Roman"/>
          <w:b/>
        </w:rPr>
        <w:t xml:space="preserve"> итоговую оценку участника закупочной процедуры более чем на 1 балл</w:t>
      </w:r>
      <w:r w:rsidRPr="00FC7951">
        <w:rPr>
          <w:rFonts w:ascii="Times New Roman" w:hAnsi="Times New Roman" w:cs="Times New Roman"/>
        </w:rPr>
        <w:t xml:space="preserve"> по пятибалльной шкале. Итоговая оценка в случае применения такой корректировки не должна превышать трех баллов по пятибалльной шкале. Принадлежность участника к указанной группе подтверждается предоставлением консолидированной финансовой отчетности по МСФО за последний завершенный финансовый год (в случае если предоставление документа не противоречит действующему Законодательству);</w:t>
      </w:r>
    </w:p>
    <w:p w14:paraId="12BC0F50"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Когда в качестве участника закупочной процедуры выступает консорциум / коллективный участник, состоящий из двух или более различных участников, либо при оказании услуг / осуществлении поставки планируется привлечение субподрядчика или нескольких субподрядчиков, итоговая оценка в рамках финансово-экономической экспертизы формируется как сумма оценок всех участников консорциума / коллективного участника или основного участника и его субподрядчиков, взвешенная по планируемой доле их участия в соответствии с предоставленным планом распределения работ;</w:t>
      </w:r>
    </w:p>
    <w:p w14:paraId="53A41F44"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В случаях, когда невозможно провести оценку участников в соответствии с набором критериев, сформулированных в Методике, по причине особенной формы составления бухгалтерской отчетности оцениваемых участников (примерами таких случаев являются отдельные группы юридических лиц, являющихся коммерческими организациями (банки, страховые компании, другие финансовые организации и т.д.); юридические лица, являющиеся некоммерческими организациями, адвокатские конторы, бюджетные организации и др.) Эксперт вправе изменить набор и степень значимости финансово-экономических критериев с отражением внесенных изменений в экспертном заключении. В частности, в целях подтверждения должного </w:t>
      </w:r>
      <w:r w:rsidRPr="00FC7951">
        <w:rPr>
          <w:rFonts w:ascii="Times New Roman" w:hAnsi="Times New Roman" w:cs="Times New Roman"/>
        </w:rPr>
        <w:lastRenderedPageBreak/>
        <w:t>финансово-экономического состояния и наличия необходимых компетенций могут быть использованы лицензии, сертификаты, грамоты и благодарственные письма (оценка наличия релевантного опыта), кредитные рейтинги и пресс-релизы рейтинговых агентств, членства в ассоциациях и другие данные, полученные из открытых источников информации.</w:t>
      </w:r>
    </w:p>
    <w:p w14:paraId="5A505E2D" w14:textId="77777777" w:rsidR="00B06B6F" w:rsidRPr="00FC7951" w:rsidRDefault="00B06B6F" w:rsidP="00725F19">
      <w:pPr>
        <w:tabs>
          <w:tab w:val="left" w:pos="1134"/>
        </w:tabs>
        <w:ind w:firstLine="709"/>
        <w:jc w:val="both"/>
        <w:rPr>
          <w:rFonts w:ascii="Times New Roman" w:hAnsi="Times New Roman" w:cs="Times New Roman"/>
        </w:rPr>
      </w:pPr>
    </w:p>
    <w:p w14:paraId="5839C275" w14:textId="77777777" w:rsidR="00B06B6F" w:rsidRPr="00FC7951" w:rsidRDefault="00B06B6F" w:rsidP="00725F19">
      <w:pPr>
        <w:jc w:val="right"/>
        <w:rPr>
          <w:rFonts w:ascii="Times New Roman" w:hAnsi="Times New Roman" w:cs="Times New Roman"/>
        </w:rPr>
      </w:pPr>
      <w:r w:rsidRPr="00FC7951">
        <w:rPr>
          <w:rFonts w:ascii="Times New Roman" w:hAnsi="Times New Roman" w:cs="Times New Roman"/>
        </w:rPr>
        <w:t>Таблица Алгоритм принятия решения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00B06B6F" w:rsidRPr="00FC7951" w14:paraId="69714E18" w14:textId="77777777" w:rsidTr="001746C7">
        <w:trPr>
          <w:trHeight w:val="503"/>
        </w:trPr>
        <w:tc>
          <w:tcPr>
            <w:tcW w:w="3119" w:type="dxa"/>
            <w:shd w:val="clear" w:color="auto" w:fill="auto"/>
            <w:vAlign w:val="center"/>
          </w:tcPr>
          <w:p w14:paraId="3AE5E1BD"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Варианты автоматического решения</w:t>
            </w:r>
          </w:p>
        </w:tc>
        <w:tc>
          <w:tcPr>
            <w:tcW w:w="6237" w:type="dxa"/>
            <w:shd w:val="clear" w:color="auto" w:fill="auto"/>
            <w:vAlign w:val="center"/>
          </w:tcPr>
          <w:p w14:paraId="2011E455"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Описание и действия Эксперта</w:t>
            </w:r>
          </w:p>
        </w:tc>
      </w:tr>
      <w:tr w:rsidR="00B06B6F" w:rsidRPr="00FC7951" w14:paraId="2A8C63BD" w14:textId="77777777" w:rsidTr="001746C7">
        <w:trPr>
          <w:trHeight w:val="445"/>
        </w:trPr>
        <w:tc>
          <w:tcPr>
            <w:tcW w:w="3119" w:type="dxa"/>
            <w:shd w:val="clear" w:color="auto" w:fill="auto"/>
            <w:vAlign w:val="center"/>
          </w:tcPr>
          <w:p w14:paraId="3ACDD7EB"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Занести данные отчетности</w:t>
            </w:r>
          </w:p>
        </w:tc>
        <w:tc>
          <w:tcPr>
            <w:tcW w:w="6237" w:type="dxa"/>
            <w:shd w:val="clear" w:color="auto" w:fill="auto"/>
          </w:tcPr>
          <w:p w14:paraId="05E12D1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 занесены данные бухгалтерской отчетности</w:t>
            </w:r>
          </w:p>
        </w:tc>
      </w:tr>
      <w:tr w:rsidR="00B06B6F" w:rsidRPr="00FC7951" w14:paraId="073D3937" w14:textId="77777777" w:rsidTr="001746C7">
        <w:trPr>
          <w:trHeight w:val="885"/>
        </w:trPr>
        <w:tc>
          <w:tcPr>
            <w:tcW w:w="3119" w:type="dxa"/>
            <w:shd w:val="clear" w:color="auto" w:fill="auto"/>
            <w:vAlign w:val="center"/>
          </w:tcPr>
          <w:p w14:paraId="66DB17F5"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Автоматическое принятие решения</w:t>
            </w:r>
          </w:p>
        </w:tc>
        <w:tc>
          <w:tcPr>
            <w:tcW w:w="6237" w:type="dxa"/>
            <w:shd w:val="clear" w:color="auto" w:fill="auto"/>
          </w:tcPr>
          <w:p w14:paraId="7E330B1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Надпись возникает, когда данные бухгалтерской отчетности занесены в соответствующие ячейки шаблона (файл </w:t>
            </w:r>
            <w:proofErr w:type="spellStart"/>
            <w:r w:rsidRPr="00FC7951">
              <w:rPr>
                <w:rFonts w:ascii="Times New Roman" w:hAnsi="Times New Roman" w:cs="Times New Roman"/>
                <w:color w:val="000000"/>
              </w:rPr>
              <w:t>Excel</w:t>
            </w:r>
            <w:proofErr w:type="spellEnd"/>
            <w:r w:rsidRPr="00FC7951">
              <w:rPr>
                <w:rFonts w:ascii="Times New Roman" w:hAnsi="Times New Roman" w:cs="Times New Roman"/>
                <w:color w:val="000000"/>
              </w:rPr>
              <w:t>), однако остальные обязательные для заполнения ячейки пусты (отсутствуют регистрационные данные, не указана сумма планируемого договора или не заполнено поле с суммой задолженности по начисленным налогам, сборам и иным обязательным платежам). Надпись также может возникнуть в случае, если не полностью или не верно проставлены галочки в полях, предусмотренных для качественной оценки бизнес-рисков</w:t>
            </w:r>
          </w:p>
        </w:tc>
      </w:tr>
      <w:tr w:rsidR="00B06B6F" w:rsidRPr="00FC7951" w14:paraId="2E62383D" w14:textId="77777777" w:rsidTr="001746C7">
        <w:trPr>
          <w:trHeight w:val="870"/>
        </w:trPr>
        <w:tc>
          <w:tcPr>
            <w:tcW w:w="3119" w:type="dxa"/>
            <w:shd w:val="clear" w:color="000000" w:fill="FFE5E5"/>
            <w:vAlign w:val="center"/>
          </w:tcPr>
          <w:p w14:paraId="52C8ADF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 соответствует (0)</w:t>
            </w:r>
          </w:p>
        </w:tc>
        <w:tc>
          <w:tcPr>
            <w:tcW w:w="6237" w:type="dxa"/>
            <w:shd w:val="clear" w:color="000000" w:fill="FFE5E5"/>
          </w:tcPr>
          <w:p w14:paraId="77C61B3D"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 xml:space="preserve">Такое автоматическое решение возникает в ситуации, когда участник закупочной процедуры, будучи оценен согласно </w:t>
            </w:r>
            <w:proofErr w:type="spellStart"/>
            <w:r w:rsidRPr="00FC7951">
              <w:rPr>
                <w:rFonts w:ascii="Times New Roman" w:hAnsi="Times New Roman" w:cs="Times New Roman"/>
                <w:color w:val="000000"/>
              </w:rPr>
              <w:t>балльно</w:t>
            </w:r>
            <w:proofErr w:type="spellEnd"/>
            <w:r w:rsidRPr="00FC7951">
              <w:rPr>
                <w:rFonts w:ascii="Times New Roman" w:hAnsi="Times New Roman" w:cs="Times New Roman"/>
                <w:color w:val="000000"/>
              </w:rPr>
              <w:t>-весового подхода, набирает менее 0,45 баллов по шкале от 0 до 1.</w:t>
            </w:r>
          </w:p>
          <w:p w14:paraId="060FFCCF" w14:textId="77777777" w:rsidR="00B06B6F" w:rsidRPr="00FC7951" w:rsidRDefault="00B06B6F" w:rsidP="00725F19">
            <w:pPr>
              <w:jc w:val="both"/>
              <w:rPr>
                <w:rFonts w:ascii="Times New Roman" w:hAnsi="Times New Roman" w:cs="Times New Roman"/>
                <w:i/>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оценочной стадии не должна превышать 1 (минимально допустимый уровень)</w:t>
            </w:r>
          </w:p>
        </w:tc>
      </w:tr>
      <w:tr w:rsidR="00B06B6F" w:rsidRPr="00FC7951" w14:paraId="600453AE" w14:textId="77777777" w:rsidTr="001746C7">
        <w:trPr>
          <w:trHeight w:val="850"/>
        </w:trPr>
        <w:tc>
          <w:tcPr>
            <w:tcW w:w="3119" w:type="dxa"/>
            <w:shd w:val="clear" w:color="000000" w:fill="FFE5E5"/>
            <w:vAlign w:val="center"/>
          </w:tcPr>
          <w:p w14:paraId="091447F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 соответствует (0) имеются стоп-факторы</w:t>
            </w:r>
          </w:p>
        </w:tc>
        <w:tc>
          <w:tcPr>
            <w:tcW w:w="6237" w:type="dxa"/>
            <w:shd w:val="clear" w:color="000000" w:fill="FFE5E5"/>
          </w:tcPr>
          <w:p w14:paraId="6A1A87DB"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независимо от набранного количества баллов по шкале от 0 до 1 для оцениваемого участника реализуется хотя бы один из стоп-факторов</w:t>
            </w:r>
          </w:p>
          <w:p w14:paraId="16DAB953"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 xml:space="preserve">Эксперт либо подтверждает автоматически выставленную оценку о несоответствии с присвоением участнику закупочной процедуры оценки 0 по пятибалльной шкале, либо, в случае если имеется достаточное основание, предоставив необходимое обоснование, повышает оценку до «Соответствует», при этом оценка по пятибалльной шкале, если иное специально не оговорено в Методике, на </w:t>
            </w:r>
            <w:r w:rsidRPr="00FC7951">
              <w:rPr>
                <w:rFonts w:ascii="Times New Roman" w:hAnsi="Times New Roman" w:cs="Times New Roman"/>
                <w:i/>
                <w:color w:val="000000"/>
              </w:rPr>
              <w:lastRenderedPageBreak/>
              <w:t>оценочной стадии не должна превышать 1 (минимально допустимый уровень)</w:t>
            </w:r>
          </w:p>
        </w:tc>
      </w:tr>
      <w:tr w:rsidR="00B06B6F" w:rsidRPr="00FC7951" w14:paraId="308DF5C6" w14:textId="77777777" w:rsidTr="001746C7">
        <w:trPr>
          <w:trHeight w:val="765"/>
        </w:trPr>
        <w:tc>
          <w:tcPr>
            <w:tcW w:w="3119" w:type="dxa"/>
            <w:shd w:val="clear" w:color="000000" w:fill="F8FFB9"/>
            <w:vAlign w:val="center"/>
          </w:tcPr>
          <w:p w14:paraId="210B32B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lastRenderedPageBreak/>
              <w:t>Необходимо участие эксперта (0)</w:t>
            </w:r>
          </w:p>
          <w:p w14:paraId="45A4B380" w14:textId="77777777" w:rsidR="00B06B6F" w:rsidRPr="00FC7951" w:rsidRDefault="00B06B6F" w:rsidP="00725F19">
            <w:pPr>
              <w:rPr>
                <w:rFonts w:ascii="Times New Roman" w:hAnsi="Times New Roman" w:cs="Times New Roman"/>
                <w:i/>
                <w:color w:val="000000"/>
              </w:rPr>
            </w:pPr>
          </w:p>
          <w:p w14:paraId="5A87115C"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Необходимо участие эксперта (0) имеются риск-факторы</w:t>
            </w:r>
          </w:p>
        </w:tc>
        <w:tc>
          <w:tcPr>
            <w:tcW w:w="6237" w:type="dxa"/>
            <w:shd w:val="clear" w:color="000000" w:fill="F8FFB9"/>
          </w:tcPr>
          <w:p w14:paraId="0AB1EACA"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Такое автоматическое решение соответствует ситуации, когда участник закупочной процедуры набирает от 0,45 до 0,5 баллов по шкале от 0 до 1 (пограничная ситуация). При этом имеется не более двух риск-факторов.</w:t>
            </w:r>
          </w:p>
          <w:p w14:paraId="6688FE3A" w14:textId="77777777" w:rsidR="00B06B6F" w:rsidRPr="00FC7951" w:rsidRDefault="00B06B6F" w:rsidP="00725F19">
            <w:pPr>
              <w:jc w:val="both"/>
              <w:rPr>
                <w:rFonts w:ascii="Times New Roman" w:hAnsi="Times New Roman" w:cs="Times New Roman"/>
                <w:i/>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на отборочной стадии</w:t>
            </w:r>
            <w:r w:rsidRPr="00FC7951">
              <w:rPr>
                <w:rFonts w:ascii="Times New Roman" w:hAnsi="Times New Roman" w:cs="Times New Roman"/>
                <w:b/>
                <w:i/>
                <w:color w:val="000000"/>
              </w:rPr>
              <w:t xml:space="preserve"> </w:t>
            </w:r>
            <w:r w:rsidRPr="00FC7951">
              <w:rPr>
                <w:rFonts w:ascii="Times New Roman" w:hAnsi="Times New Roman" w:cs="Times New Roman"/>
                <w:i/>
                <w:color w:val="000000"/>
              </w:rPr>
              <w:t>в пограничной ситуации</w:t>
            </w:r>
            <w:r w:rsidRPr="00FC7951">
              <w:rPr>
                <w:rFonts w:ascii="Times New Roman" w:hAnsi="Times New Roman" w:cs="Times New Roman"/>
                <w:b/>
                <w:i/>
                <w:color w:val="000000"/>
              </w:rPr>
              <w:t xml:space="preserve"> </w:t>
            </w:r>
            <w:r w:rsidRPr="00FC7951">
              <w:rPr>
                <w:rFonts w:ascii="Times New Roman" w:hAnsi="Times New Roman" w:cs="Times New Roman"/>
                <w:i/>
                <w:color w:val="000000"/>
              </w:rPr>
              <w:t>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не должна превышать 1 по пятибалльной шкале, если иное специально не оговорено в Методике (минимально допустимый уровень)</w:t>
            </w:r>
          </w:p>
        </w:tc>
      </w:tr>
      <w:tr w:rsidR="00B06B6F" w:rsidRPr="00FC7951" w14:paraId="79E78577" w14:textId="77777777" w:rsidTr="001746C7">
        <w:trPr>
          <w:trHeight w:val="712"/>
        </w:trPr>
        <w:tc>
          <w:tcPr>
            <w:tcW w:w="3119" w:type="dxa"/>
            <w:shd w:val="clear" w:color="000000" w:fill="F8FFB9"/>
            <w:vAlign w:val="center"/>
          </w:tcPr>
          <w:p w14:paraId="511A8CB0"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Необходимо участие эксперта (оценка 1-5) более двух риск факторов</w:t>
            </w:r>
          </w:p>
        </w:tc>
        <w:tc>
          <w:tcPr>
            <w:tcW w:w="6237" w:type="dxa"/>
            <w:shd w:val="clear" w:color="000000" w:fill="F8FFB9"/>
          </w:tcPr>
          <w:p w14:paraId="02941B07"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Надпись возникает, когда независимо от набранного количества баллов по шкале от 0 до 1 для оцениваемого участника реализуется более двух риск факторов</w:t>
            </w:r>
          </w:p>
          <w:p w14:paraId="06DD7BEA"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в случае большого количества (более двух) риск-факторов Эксперт принимает решение о соответствии/несоответствии, при этом в случае допуска участника процедуры до оценочной стадии Эксперт должен предоставить необходимое обоснование, а итоговая оценка на оценочной стадии, если иное специально не оговорено в Методике, не должна превышать 1 по пятибалльной шкале (минимально допустимый уровень)</w:t>
            </w:r>
          </w:p>
        </w:tc>
      </w:tr>
      <w:tr w:rsidR="00B06B6F" w:rsidRPr="00FC7951" w14:paraId="61DC2EF1" w14:textId="77777777" w:rsidTr="001746C7">
        <w:trPr>
          <w:trHeight w:val="2440"/>
        </w:trPr>
        <w:tc>
          <w:tcPr>
            <w:tcW w:w="3119" w:type="dxa"/>
            <w:shd w:val="clear" w:color="000000" w:fill="C6FED1"/>
            <w:vAlign w:val="center"/>
          </w:tcPr>
          <w:p w14:paraId="41F825A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Соответствует (оценка 1-5) имеются риск-факторы</w:t>
            </w:r>
          </w:p>
          <w:p w14:paraId="67CA275A" w14:textId="77777777" w:rsidR="00B06B6F" w:rsidRPr="00FC7951" w:rsidRDefault="00B06B6F" w:rsidP="00725F19">
            <w:pPr>
              <w:rPr>
                <w:rFonts w:ascii="Times New Roman" w:hAnsi="Times New Roman" w:cs="Times New Roman"/>
                <w:i/>
                <w:color w:val="000000"/>
              </w:rPr>
            </w:pPr>
          </w:p>
          <w:p w14:paraId="515488C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Соответствует (оценка 1-5)</w:t>
            </w:r>
          </w:p>
        </w:tc>
        <w:tc>
          <w:tcPr>
            <w:tcW w:w="6237" w:type="dxa"/>
            <w:shd w:val="clear" w:color="000000" w:fill="C6FED1"/>
          </w:tcPr>
          <w:p w14:paraId="331109E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color w:val="000000"/>
              </w:rPr>
              <w:t>Участник закупочной процедуры набирает более 0,5 баллов по шкале от 0 до 1. При этом имеется не более двух риск-факторов. Далее все участники, набравшие более 0,5 баллов по шкале от 0 до 1 (по которым принято положительное решение на отборочной стадии) ранжируются с присвоением оценки по пятибалльной шкале от 1 до 5. В настоящей методике ранжир осуществляется равномерным переводом первичной шкалы от 0,5 до 1 в шкалу от 1 до 5.</w:t>
            </w:r>
          </w:p>
          <w:p w14:paraId="2FB585D6" w14:textId="77777777" w:rsidR="00B06B6F" w:rsidRPr="00FC7951" w:rsidRDefault="00B06B6F" w:rsidP="00725F19">
            <w:pPr>
              <w:jc w:val="both"/>
              <w:rPr>
                <w:rFonts w:ascii="Times New Roman" w:hAnsi="Times New Roman" w:cs="Times New Roman"/>
                <w:color w:val="000000"/>
              </w:rPr>
            </w:pPr>
            <w:r w:rsidRPr="00FC7951">
              <w:rPr>
                <w:rFonts w:ascii="Times New Roman" w:hAnsi="Times New Roman" w:cs="Times New Roman"/>
                <w:b/>
                <w:i/>
                <w:color w:val="000000"/>
              </w:rPr>
              <w:t xml:space="preserve">Действия Эксперта: </w:t>
            </w:r>
            <w:r w:rsidRPr="00FC7951">
              <w:rPr>
                <w:rFonts w:ascii="Times New Roman" w:hAnsi="Times New Roman" w:cs="Times New Roman"/>
                <w:i/>
                <w:color w:val="000000"/>
              </w:rPr>
              <w:t>в такой ситуации на отборочной стадии Эксперт не может изменить автоматически принятое решение о соответствии, однако за ним остается право при необходимости скорректировать итоговую оценку не более чем на 1 балл по пятибалльной шкале, при условии, что с учетом корректировки итоговая оценка будет находиться в пределах от 1 до 5</w:t>
            </w:r>
          </w:p>
        </w:tc>
      </w:tr>
    </w:tbl>
    <w:p w14:paraId="5701C956" w14:textId="77777777" w:rsidR="00B06B6F" w:rsidRPr="00FC7951" w:rsidRDefault="00B06B6F" w:rsidP="00725F19">
      <w:pPr>
        <w:tabs>
          <w:tab w:val="left" w:pos="1134"/>
        </w:tabs>
        <w:ind w:left="709"/>
        <w:jc w:val="both"/>
        <w:rPr>
          <w:rFonts w:ascii="Times New Roman" w:hAnsi="Times New Roman" w:cs="Times New Roman"/>
          <w:b/>
          <w:bCs/>
        </w:rPr>
      </w:pPr>
    </w:p>
    <w:p w14:paraId="7A95D6C2" w14:textId="77777777" w:rsidR="00B06B6F" w:rsidRPr="00FC7951" w:rsidRDefault="00B06B6F" w:rsidP="00725F19">
      <w:pPr>
        <w:numPr>
          <w:ilvl w:val="0"/>
          <w:numId w:val="16"/>
        </w:numPr>
        <w:tabs>
          <w:tab w:val="left" w:pos="1134"/>
        </w:tabs>
        <w:spacing w:after="0" w:line="240" w:lineRule="auto"/>
        <w:ind w:left="0" w:firstLine="709"/>
        <w:jc w:val="both"/>
        <w:rPr>
          <w:rFonts w:ascii="Times New Roman" w:hAnsi="Times New Roman" w:cs="Times New Roman"/>
          <w:b/>
          <w:bCs/>
        </w:rPr>
      </w:pPr>
      <w:r w:rsidRPr="00FC7951">
        <w:rPr>
          <w:rFonts w:ascii="Times New Roman" w:hAnsi="Times New Roman" w:cs="Times New Roman"/>
          <w:b/>
          <w:bCs/>
        </w:rPr>
        <w:t>Проведение финансово-экономической экспертизы участников закупочных процедур, применяющих упрощенную систему налогообложения (УСН) и индивидуальных предпринимателей</w:t>
      </w:r>
    </w:p>
    <w:p w14:paraId="615CCD9B"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lastRenderedPageBreak/>
        <w:t>В случае если в соответствии с требованиями Законодательства участники закупочных процедур, применяющие упрощенную систему налогообложения, обязаны формировать бухгалтерскую отчетность (в формате ф.1 и ф.2 специально предусмотренном для субъектов малого предпринимательства) экспертиза финансово-экономической устойчивости участников должна проводиться на основании этой отчетности в соответствии с Методикой.</w:t>
      </w:r>
    </w:p>
    <w:p w14:paraId="40489A56"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В случае если подготовка и подача в налоговый орган бухгалтерской отчетности в соответствие с формой № 1 (бухгалтерский баланс) и формой № 2 (отчет о прибылях и убытках) не является обязательной для участников, применяющих упрощенную систему налогообложения, или индивидуальных предпринимателей, то для них невозможно рассчитать финансовые коэффициенты и провести объемлющий анализ финансовой устойчивости - оценка таких участников в рамках проведения финансово-экономической экспертизы осуществляется </w:t>
      </w:r>
      <w:proofErr w:type="spellStart"/>
      <w:r w:rsidRPr="00FC7951">
        <w:rPr>
          <w:rFonts w:ascii="Times New Roman" w:hAnsi="Times New Roman" w:cs="Times New Roman"/>
          <w:bCs/>
        </w:rPr>
        <w:t>экспертно</w:t>
      </w:r>
      <w:proofErr w:type="spellEnd"/>
      <w:r w:rsidRPr="00FC7951">
        <w:rPr>
          <w:rFonts w:ascii="Times New Roman" w:hAnsi="Times New Roman" w:cs="Times New Roman"/>
          <w:bCs/>
        </w:rPr>
        <w:t xml:space="preserve"> с учетом </w:t>
      </w:r>
      <w:proofErr w:type="spellStart"/>
      <w:r w:rsidRPr="00FC7951">
        <w:rPr>
          <w:rFonts w:ascii="Times New Roman" w:hAnsi="Times New Roman" w:cs="Times New Roman"/>
          <w:bCs/>
        </w:rPr>
        <w:t>п.п</w:t>
      </w:r>
      <w:proofErr w:type="spellEnd"/>
      <w:r w:rsidRPr="00FC7951">
        <w:rPr>
          <w:rFonts w:ascii="Times New Roman" w:hAnsi="Times New Roman" w:cs="Times New Roman"/>
          <w:bCs/>
        </w:rPr>
        <w:t xml:space="preserve">. 4.3.-4.6. </w:t>
      </w:r>
      <w:r w:rsidRPr="00FC7951">
        <w:rPr>
          <w:rFonts w:ascii="Times New Roman" w:hAnsi="Times New Roman" w:cs="Times New Roman"/>
        </w:rPr>
        <w:t>настоящего Приложения.</w:t>
      </w:r>
    </w:p>
    <w:p w14:paraId="3C55A5B7"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Решение о прохождении индивидуальным предпринимателем отборочной стадии может быть принято на основании данных налоговых деклараций, </w:t>
      </w:r>
      <w:r w:rsidRPr="00FC7951">
        <w:rPr>
          <w:rFonts w:ascii="Times New Roman" w:hAnsi="Times New Roman" w:cs="Times New Roman"/>
        </w:rPr>
        <w:t>выписок из ЕГРН (об основных характеристиках и зарегистрированных правах на объект недвижимости, об объекте недвижимости) и выписки из БКИ.</w:t>
      </w:r>
    </w:p>
    <w:p w14:paraId="3CC33A78"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rPr>
        <w:t>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 с указанием используемых данных представлен в приложении 4 к Методике.</w:t>
      </w:r>
    </w:p>
    <w:p w14:paraId="28A6D108"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bCs/>
        </w:rPr>
        <w:t>Эксперт проводит проверку соответствия данных ФИО физического лица, за которое предоставляются указанные выписки, наименованию индивидуального предпринимателя, а также проверку актуальности предоставленных выписок. При выявлении несоответствия такие данные не используются.</w:t>
      </w:r>
    </w:p>
    <w:p w14:paraId="22ADE5AB" w14:textId="77777777" w:rsidR="00B06B6F" w:rsidRPr="00FC7951" w:rsidRDefault="00B06B6F" w:rsidP="00725F19">
      <w:pPr>
        <w:tabs>
          <w:tab w:val="left" w:pos="1134"/>
        </w:tabs>
        <w:ind w:firstLine="709"/>
        <w:jc w:val="both"/>
        <w:rPr>
          <w:rFonts w:ascii="Times New Roman" w:hAnsi="Times New Roman" w:cs="Times New Roman"/>
          <w:bCs/>
        </w:rPr>
      </w:pPr>
      <w:r w:rsidRPr="00FC7951">
        <w:rPr>
          <w:rFonts w:ascii="Times New Roman" w:hAnsi="Times New Roman" w:cs="Times New Roman"/>
          <w:bCs/>
        </w:rPr>
        <w:t xml:space="preserve">В части данных выписок из ЕГРН </w:t>
      </w:r>
      <w:r w:rsidRPr="00FC7951">
        <w:rPr>
          <w:rFonts w:ascii="Times New Roman" w:hAnsi="Times New Roman" w:cs="Times New Roman"/>
        </w:rPr>
        <w:t>(об основных характеристиках и зарегистрированных правах на объект недвижимости, об объекте недвижимости) эксперт также проводит проверку соответствия кадастровых номеров в указанных документах.</w:t>
      </w:r>
    </w:p>
    <w:p w14:paraId="045088B9" w14:textId="77777777" w:rsidR="00B06B6F" w:rsidRPr="00FC7951" w:rsidRDefault="00B06B6F" w:rsidP="00725F19">
      <w:pPr>
        <w:tabs>
          <w:tab w:val="left" w:pos="1134"/>
        </w:tabs>
        <w:ind w:left="709"/>
        <w:jc w:val="both"/>
        <w:rPr>
          <w:rFonts w:ascii="Times New Roman" w:hAnsi="Times New Roman" w:cs="Times New Roman"/>
        </w:rPr>
      </w:pPr>
      <w:r w:rsidRPr="00FC7951">
        <w:rPr>
          <w:rFonts w:ascii="Times New Roman" w:hAnsi="Times New Roman" w:cs="Times New Roman"/>
        </w:rPr>
        <w:t>Положения Методики при этом применяются с учетом следующих особенностей:</w:t>
      </w:r>
    </w:p>
    <w:p w14:paraId="2099CC25" w14:textId="77777777" w:rsidR="00B06B6F" w:rsidRPr="00FC7951" w:rsidRDefault="00B06B6F" w:rsidP="00725F19">
      <w:pPr>
        <w:pStyle w:val="ac"/>
        <w:numPr>
          <w:ilvl w:val="2"/>
          <w:numId w:val="16"/>
        </w:numPr>
        <w:ind w:left="0" w:firstLine="720"/>
        <w:jc w:val="both"/>
        <w:rPr>
          <w:bCs/>
        </w:rPr>
      </w:pPr>
      <w:r w:rsidRPr="00FC7951">
        <w:rPr>
          <w:bCs/>
        </w:rPr>
        <w:t>Раздел 7 Методики не применяется с учетом ограниченного набора данных, содержащихся в предоставляемых индивидуальным предпринимателем документов. Оценка по «</w:t>
      </w:r>
      <w:r w:rsidRPr="00FC7951">
        <w:rPr>
          <w:bCs/>
          <w:color w:val="000000"/>
        </w:rPr>
        <w:t xml:space="preserve">Группе финансовых показателей» проводится с использованием </w:t>
      </w:r>
      <w:r w:rsidRPr="00FC7951">
        <w:rPr>
          <w:bCs/>
        </w:rPr>
        <w:t xml:space="preserve">данных </w:t>
      </w:r>
      <w:r w:rsidRPr="00FC7951">
        <w:t>выписок из ЕГРН и выписки из БКИ:</w:t>
      </w:r>
    </w:p>
    <w:p w14:paraId="47395DFD" w14:textId="77777777" w:rsidR="00B06B6F" w:rsidRPr="00FC7951" w:rsidRDefault="00B06B6F" w:rsidP="00725F19">
      <w:pPr>
        <w:pStyle w:val="ac"/>
        <w:numPr>
          <w:ilvl w:val="0"/>
          <w:numId w:val="38"/>
        </w:numPr>
        <w:jc w:val="both"/>
        <w:rPr>
          <w:bCs/>
        </w:rPr>
      </w:pPr>
      <w:r w:rsidRPr="00FC7951">
        <w:rPr>
          <w:bCs/>
        </w:rPr>
        <w:t>Данные текущего баланса по выписке из БКИ (раздел Сводка: Баланс: Текущий)</w:t>
      </w:r>
    </w:p>
    <w:p w14:paraId="7ED795BD" w14:textId="77777777" w:rsidR="00B06B6F" w:rsidRPr="00FC7951" w:rsidRDefault="00B06B6F" w:rsidP="00725F19">
      <w:pPr>
        <w:pStyle w:val="ac"/>
        <w:numPr>
          <w:ilvl w:val="0"/>
          <w:numId w:val="38"/>
        </w:numPr>
        <w:jc w:val="both"/>
        <w:rPr>
          <w:bCs/>
        </w:rPr>
      </w:pPr>
      <w:r w:rsidRPr="00FC7951">
        <w:rPr>
          <w:bCs/>
        </w:rPr>
        <w:t>Данные задолженности по выписке из БКИ (раздел Сводка: Баланс: Задолженность)</w:t>
      </w:r>
    </w:p>
    <w:p w14:paraId="2F9863E7" w14:textId="77777777" w:rsidR="00B06B6F" w:rsidRPr="00FC7951" w:rsidRDefault="00B06B6F" w:rsidP="00725F19">
      <w:pPr>
        <w:pStyle w:val="ac"/>
        <w:numPr>
          <w:ilvl w:val="0"/>
          <w:numId w:val="38"/>
        </w:numPr>
        <w:jc w:val="both"/>
        <w:rPr>
          <w:bCs/>
        </w:rPr>
      </w:pPr>
      <w:r w:rsidRPr="00FC7951">
        <w:rPr>
          <w:bCs/>
        </w:rPr>
        <w:t>Данные просроченной задолженности по выписке из БКИ (раздел Сводка: Баланс: Просрочено)</w:t>
      </w:r>
    </w:p>
    <w:p w14:paraId="043D72A8" w14:textId="77777777" w:rsidR="00B06B6F" w:rsidRPr="00FC7951" w:rsidRDefault="00B06B6F" w:rsidP="00725F19">
      <w:pPr>
        <w:pStyle w:val="ac"/>
        <w:numPr>
          <w:ilvl w:val="0"/>
          <w:numId w:val="38"/>
        </w:numPr>
        <w:jc w:val="both"/>
        <w:rPr>
          <w:bCs/>
        </w:rPr>
      </w:pPr>
      <w:r w:rsidRPr="00FC7951">
        <w:rPr>
          <w:bCs/>
        </w:rPr>
        <w:t>Кадастровая стоимость объектов недвижимости во владении по выписке из ЕГРН</w:t>
      </w:r>
    </w:p>
    <w:p w14:paraId="4464536C"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rPr>
        <w:t xml:space="preserve">Внесение данных выписок </w:t>
      </w:r>
      <w:r w:rsidRPr="00FC7951">
        <w:rPr>
          <w:rFonts w:ascii="Times New Roman" w:hAnsi="Times New Roman" w:cs="Times New Roman"/>
        </w:rPr>
        <w:t>из ЕГРН и выписки из БКИ по</w:t>
      </w:r>
      <w:r w:rsidRPr="00FC7951">
        <w:rPr>
          <w:rFonts w:ascii="Times New Roman" w:hAnsi="Times New Roman" w:cs="Times New Roman"/>
          <w:bCs/>
        </w:rPr>
        <w:t xml:space="preserve"> участнику – индивидуальному предпринимателю </w:t>
      </w:r>
      <w:r w:rsidRPr="00FC7951">
        <w:rPr>
          <w:rFonts w:ascii="Times New Roman" w:hAnsi="Times New Roman" w:cs="Times New Roman"/>
          <w:bCs/>
          <w:color w:val="000000"/>
        </w:rPr>
        <w:t>осуществляются согласно таблице ниже:</w:t>
      </w:r>
    </w:p>
    <w:p w14:paraId="57E13F82" w14:textId="77777777" w:rsidR="00B06B6F" w:rsidRPr="00FC7951" w:rsidRDefault="00B06B6F" w:rsidP="00725F19">
      <w:pPr>
        <w:ind w:firstLine="709"/>
        <w:jc w:val="right"/>
        <w:rPr>
          <w:rFonts w:ascii="Times New Roman" w:hAnsi="Times New Roman" w:cs="Times New Roman"/>
          <w:bCs/>
          <w:color w:val="000000"/>
        </w:rPr>
      </w:pPr>
      <w:r w:rsidRPr="00FC7951">
        <w:rPr>
          <w:rFonts w:ascii="Times New Roman" w:hAnsi="Times New Roman" w:cs="Times New Roman"/>
          <w:bCs/>
          <w:color w:val="000000"/>
        </w:rPr>
        <w:t>Внесение данных по индивидуальному предпринимателю</w:t>
      </w:r>
    </w:p>
    <w:tbl>
      <w:tblPr>
        <w:tblStyle w:val="a7"/>
        <w:tblW w:w="9351" w:type="dxa"/>
        <w:tblLook w:val="04A0" w:firstRow="1" w:lastRow="0" w:firstColumn="1" w:lastColumn="0" w:noHBand="0" w:noVBand="1"/>
      </w:tblPr>
      <w:tblGrid>
        <w:gridCol w:w="4390"/>
        <w:gridCol w:w="4961"/>
      </w:tblGrid>
      <w:tr w:rsidR="00B06B6F" w:rsidRPr="00FC7951" w14:paraId="26338DD1" w14:textId="77777777" w:rsidTr="001746C7">
        <w:tc>
          <w:tcPr>
            <w:tcW w:w="4390" w:type="dxa"/>
          </w:tcPr>
          <w:p w14:paraId="774E3FEE" w14:textId="77777777" w:rsidR="00B06B6F" w:rsidRPr="00FC7951" w:rsidRDefault="00B06B6F" w:rsidP="00725F19">
            <w:pPr>
              <w:jc w:val="both"/>
              <w:rPr>
                <w:b/>
                <w:color w:val="000000"/>
              </w:rPr>
            </w:pPr>
            <w:r w:rsidRPr="00FC7951">
              <w:rPr>
                <w:b/>
                <w:color w:val="000000"/>
              </w:rPr>
              <w:t>Показатель выписки из ЕГРН/БКИ</w:t>
            </w:r>
          </w:p>
        </w:tc>
        <w:tc>
          <w:tcPr>
            <w:tcW w:w="4961" w:type="dxa"/>
          </w:tcPr>
          <w:p w14:paraId="0FF78846" w14:textId="77777777" w:rsidR="00B06B6F" w:rsidRPr="00FC7951" w:rsidRDefault="00B06B6F" w:rsidP="00725F19">
            <w:pPr>
              <w:jc w:val="both"/>
              <w:rPr>
                <w:b/>
                <w:color w:val="000000"/>
              </w:rPr>
            </w:pPr>
            <w:r w:rsidRPr="00FC7951">
              <w:rPr>
                <w:b/>
                <w:color w:val="000000"/>
              </w:rPr>
              <w:t>Строка формы внесения бухгалтерской отчетности</w:t>
            </w:r>
          </w:p>
        </w:tc>
      </w:tr>
      <w:tr w:rsidR="00B06B6F" w:rsidRPr="00FC7951" w14:paraId="63BE1A1F" w14:textId="77777777" w:rsidTr="001746C7">
        <w:tc>
          <w:tcPr>
            <w:tcW w:w="4390" w:type="dxa"/>
            <w:vAlign w:val="center"/>
          </w:tcPr>
          <w:p w14:paraId="22D46118" w14:textId="77777777" w:rsidR="00B06B6F" w:rsidRPr="00FC7951" w:rsidRDefault="00B06B6F" w:rsidP="00725F19">
            <w:pPr>
              <w:rPr>
                <w:bCs/>
                <w:color w:val="000000"/>
              </w:rPr>
            </w:pPr>
            <w:r w:rsidRPr="00FC7951">
              <w:rPr>
                <w:bCs/>
              </w:rPr>
              <w:t xml:space="preserve">Данные текущего баланса по выписке из БКИ </w:t>
            </w:r>
          </w:p>
        </w:tc>
        <w:tc>
          <w:tcPr>
            <w:tcW w:w="4961" w:type="dxa"/>
          </w:tcPr>
          <w:p w14:paraId="489DAB36" w14:textId="77777777" w:rsidR="00B06B6F" w:rsidRPr="00FC7951" w:rsidRDefault="00B06B6F" w:rsidP="00725F19">
            <w:pPr>
              <w:jc w:val="both"/>
              <w:rPr>
                <w:bCs/>
                <w:color w:val="000000"/>
              </w:rPr>
            </w:pPr>
            <w:r w:rsidRPr="00FC7951">
              <w:rPr>
                <w:bCs/>
                <w:color w:val="000000"/>
              </w:rPr>
              <w:t>«Денежные средства»</w:t>
            </w:r>
          </w:p>
        </w:tc>
      </w:tr>
      <w:tr w:rsidR="00B06B6F" w:rsidRPr="00FC7951" w14:paraId="7BA2600A" w14:textId="77777777" w:rsidTr="001746C7">
        <w:tc>
          <w:tcPr>
            <w:tcW w:w="4390" w:type="dxa"/>
            <w:vAlign w:val="center"/>
          </w:tcPr>
          <w:p w14:paraId="0EFCF97F" w14:textId="77777777" w:rsidR="00B06B6F" w:rsidRPr="00FC7951" w:rsidRDefault="00B06B6F" w:rsidP="00725F19">
            <w:pPr>
              <w:rPr>
                <w:bCs/>
                <w:color w:val="000000"/>
              </w:rPr>
            </w:pPr>
            <w:r w:rsidRPr="00FC7951">
              <w:rPr>
                <w:bCs/>
              </w:rPr>
              <w:t>Данные задолженности по выписке из БКИ</w:t>
            </w:r>
          </w:p>
        </w:tc>
        <w:tc>
          <w:tcPr>
            <w:tcW w:w="4961" w:type="dxa"/>
          </w:tcPr>
          <w:p w14:paraId="19FC35A3" w14:textId="77777777" w:rsidR="00B06B6F" w:rsidRPr="00FC7951" w:rsidRDefault="00B06B6F" w:rsidP="00725F19">
            <w:pPr>
              <w:jc w:val="both"/>
              <w:rPr>
                <w:bCs/>
                <w:color w:val="000000"/>
              </w:rPr>
            </w:pPr>
            <w:r w:rsidRPr="00FC7951">
              <w:rPr>
                <w:bCs/>
                <w:color w:val="000000"/>
              </w:rPr>
              <w:t>«Краткосрочные заемные средства»</w:t>
            </w:r>
          </w:p>
        </w:tc>
      </w:tr>
      <w:tr w:rsidR="00B06B6F" w:rsidRPr="00FC7951" w14:paraId="24FF8799" w14:textId="77777777" w:rsidTr="001746C7">
        <w:tc>
          <w:tcPr>
            <w:tcW w:w="4390" w:type="dxa"/>
            <w:vAlign w:val="center"/>
          </w:tcPr>
          <w:p w14:paraId="1F4B57D2" w14:textId="77777777" w:rsidR="00B06B6F" w:rsidRPr="00FC7951" w:rsidRDefault="00B06B6F" w:rsidP="00725F19">
            <w:pPr>
              <w:rPr>
                <w:bCs/>
              </w:rPr>
            </w:pPr>
            <w:r w:rsidRPr="00FC7951">
              <w:rPr>
                <w:bCs/>
              </w:rPr>
              <w:t>Данные просроченной задолженности по выписке из БКИ</w:t>
            </w:r>
          </w:p>
        </w:tc>
        <w:tc>
          <w:tcPr>
            <w:tcW w:w="4961" w:type="dxa"/>
          </w:tcPr>
          <w:p w14:paraId="2874D441" w14:textId="77777777" w:rsidR="00B06B6F" w:rsidRPr="00FC7951" w:rsidRDefault="00B06B6F" w:rsidP="00725F19">
            <w:pPr>
              <w:jc w:val="both"/>
              <w:rPr>
                <w:bCs/>
                <w:color w:val="000000"/>
              </w:rPr>
            </w:pPr>
            <w:r w:rsidRPr="00FC7951">
              <w:rPr>
                <w:bCs/>
                <w:color w:val="000000"/>
              </w:rPr>
              <w:t>«Нераспределенная прибыль (непокрытый убыток)» (значение вносится со знаком минус)</w:t>
            </w:r>
          </w:p>
        </w:tc>
      </w:tr>
      <w:tr w:rsidR="00B06B6F" w:rsidRPr="00FC7951" w14:paraId="588EF39E" w14:textId="77777777" w:rsidTr="001746C7">
        <w:tc>
          <w:tcPr>
            <w:tcW w:w="4390" w:type="dxa"/>
            <w:vAlign w:val="center"/>
          </w:tcPr>
          <w:p w14:paraId="7A01C515" w14:textId="77777777" w:rsidR="00B06B6F" w:rsidRPr="00FC7951" w:rsidRDefault="00B06B6F" w:rsidP="00725F19">
            <w:pPr>
              <w:rPr>
                <w:bCs/>
                <w:color w:val="000000"/>
              </w:rPr>
            </w:pPr>
            <w:r w:rsidRPr="00FC7951">
              <w:rPr>
                <w:bCs/>
              </w:rPr>
              <w:lastRenderedPageBreak/>
              <w:t>Кадастровая стоимость объектов недвижимости в собственности по выпискам из ЕГРН</w:t>
            </w:r>
          </w:p>
        </w:tc>
        <w:tc>
          <w:tcPr>
            <w:tcW w:w="4961" w:type="dxa"/>
          </w:tcPr>
          <w:p w14:paraId="30F2A1ED" w14:textId="77777777" w:rsidR="00B06B6F" w:rsidRPr="00FC7951" w:rsidRDefault="00B06B6F" w:rsidP="00725F19">
            <w:pPr>
              <w:jc w:val="both"/>
              <w:rPr>
                <w:bCs/>
                <w:color w:val="000000"/>
              </w:rPr>
            </w:pPr>
            <w:r w:rsidRPr="00FC7951">
              <w:rPr>
                <w:bCs/>
                <w:color w:val="000000"/>
              </w:rPr>
              <w:t>«Основные средства»</w:t>
            </w:r>
          </w:p>
          <w:p w14:paraId="673ADF21" w14:textId="77777777" w:rsidR="00B06B6F" w:rsidRPr="00FC7951" w:rsidRDefault="00B06B6F" w:rsidP="00725F19">
            <w:pPr>
              <w:jc w:val="both"/>
              <w:rPr>
                <w:bCs/>
                <w:color w:val="000000"/>
              </w:rPr>
            </w:pPr>
          </w:p>
        </w:tc>
      </w:tr>
    </w:tbl>
    <w:p w14:paraId="7F24CD2F"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В целях корректной работы шаблона указанные в таблице выше данные рекомендуется вносить в форму на каждую отчетную дату.</w:t>
      </w:r>
    </w:p>
    <w:p w14:paraId="41E08DA5"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При этом, заполнение формы внесения данных бухгалтерской отчетности не является составлением баланса индивидуального предпринимателя.</w:t>
      </w:r>
    </w:p>
    <w:p w14:paraId="5EA6B94C" w14:textId="77777777" w:rsidR="00B06B6F" w:rsidRPr="00FC7951" w:rsidRDefault="00B06B6F" w:rsidP="00725F19">
      <w:pPr>
        <w:ind w:firstLine="709"/>
        <w:jc w:val="both"/>
        <w:rPr>
          <w:rFonts w:ascii="Times New Roman" w:hAnsi="Times New Roman" w:cs="Times New Roman"/>
          <w:bCs/>
        </w:rPr>
      </w:pPr>
      <w:r w:rsidRPr="00FC7951">
        <w:rPr>
          <w:rFonts w:ascii="Times New Roman" w:hAnsi="Times New Roman" w:cs="Times New Roman"/>
          <w:bCs/>
        </w:rPr>
        <w:t xml:space="preserve">После внесения данных выписок </w:t>
      </w:r>
      <w:r w:rsidRPr="00FC7951">
        <w:rPr>
          <w:rFonts w:ascii="Times New Roman" w:hAnsi="Times New Roman" w:cs="Times New Roman"/>
        </w:rPr>
        <w:t>из ЕГРН и выписки из БКИ</w:t>
      </w:r>
      <w:r w:rsidRPr="00FC7951">
        <w:rPr>
          <w:rFonts w:ascii="Times New Roman" w:hAnsi="Times New Roman" w:cs="Times New Roman"/>
          <w:bCs/>
        </w:rPr>
        <w:t xml:space="preserve"> эксперт с использованием предусмотренной (на вкладках внесения данных по участникам) шаблоном </w:t>
      </w:r>
      <w:r w:rsidRPr="00FC7951">
        <w:rPr>
          <w:rStyle w:val="10"/>
          <w:rFonts w:eastAsiaTheme="minorHAnsi"/>
          <w:bCs/>
        </w:rPr>
        <w:t>«</w:t>
      </w:r>
      <w:proofErr w:type="spellStart"/>
      <w:r w:rsidRPr="00FC7951">
        <w:rPr>
          <w:rStyle w:val="10"/>
          <w:rFonts w:eastAsiaTheme="minorHAnsi"/>
          <w:bCs/>
        </w:rPr>
        <w:t>Финэкспертиза</w:t>
      </w:r>
      <w:proofErr w:type="spellEnd"/>
      <w:r w:rsidRPr="00FC7951">
        <w:rPr>
          <w:rStyle w:val="10"/>
          <w:rFonts w:eastAsiaTheme="minorHAnsi"/>
          <w:bCs/>
        </w:rPr>
        <w:t>.</w:t>
      </w:r>
      <w:proofErr w:type="spellStart"/>
      <w:r w:rsidRPr="00FC7951">
        <w:rPr>
          <w:rStyle w:val="10"/>
          <w:rFonts w:eastAsiaTheme="minorHAnsi"/>
          <w:bCs/>
          <w:lang w:val="en-US"/>
        </w:rPr>
        <w:t>xls</w:t>
      </w:r>
      <w:proofErr w:type="spellEnd"/>
      <w:r w:rsidRPr="00FC7951">
        <w:rPr>
          <w:rStyle w:val="10"/>
          <w:rFonts w:eastAsiaTheme="minorHAnsi"/>
          <w:bCs/>
        </w:rPr>
        <w:t>»</w:t>
      </w:r>
      <w:r w:rsidRPr="00FC7951">
        <w:rPr>
          <w:rStyle w:val="10"/>
          <w:rFonts w:eastAsiaTheme="minorHAnsi"/>
        </w:rPr>
        <w:t xml:space="preserve"> </w:t>
      </w:r>
      <w:r w:rsidRPr="00FC7951">
        <w:rPr>
          <w:rFonts w:ascii="Times New Roman" w:hAnsi="Times New Roman" w:cs="Times New Roman"/>
          <w:bCs/>
        </w:rPr>
        <w:t xml:space="preserve">таблицы осуществляет расчет величины чистых активов индивидуального предпринимателя по следующей формуле, после чего вносит результат в строку «Итого Капитал и резервы» </w:t>
      </w:r>
      <w:r w:rsidRPr="00FC7951">
        <w:rPr>
          <w:rFonts w:ascii="Times New Roman" w:hAnsi="Times New Roman" w:cs="Times New Roman"/>
          <w:bCs/>
          <w:color w:val="000000"/>
        </w:rPr>
        <w:t>формы внесения бухгалтерской отчетности</w:t>
      </w:r>
      <w:r w:rsidRPr="00FC7951">
        <w:rPr>
          <w:rFonts w:ascii="Times New Roman" w:hAnsi="Times New Roman" w:cs="Times New Roman"/>
          <w:bCs/>
        </w:rPr>
        <w:t>:</w:t>
      </w:r>
    </w:p>
    <w:p w14:paraId="3D1F87F4" w14:textId="77777777" w:rsidR="00B06B6F" w:rsidRPr="00FC7951" w:rsidRDefault="00B06B6F" w:rsidP="00725F19">
      <w:pPr>
        <w:tabs>
          <w:tab w:val="left" w:pos="1134"/>
        </w:tabs>
        <w:spacing w:before="120" w:after="120"/>
        <w:ind w:firstLine="709"/>
        <w:jc w:val="both"/>
        <w:rPr>
          <w:rFonts w:ascii="Times New Roman" w:hAnsi="Times New Roman" w:cs="Times New Roman"/>
        </w:rPr>
      </w:pPr>
      <m:oMathPara>
        <m:oMath>
          <m:r>
            <m:rPr>
              <m:sty m:val="p"/>
            </m:rPr>
            <w:rPr>
              <w:rFonts w:ascii="Cambria Math" w:hAnsi="Cambria Math" w:cs="Times New Roman"/>
            </w:rPr>
            <m:t>Чистые активы индвидуального предпринимателя=</m:t>
          </m:r>
          <m:r>
            <w:rPr>
              <w:rFonts w:ascii="Cambria Math" w:hAnsi="Cambria Math" w:cs="Times New Roman"/>
            </w:rPr>
            <m:t xml:space="preserve"> </m:t>
          </m:r>
          <m:r>
            <m:rPr>
              <m:sty m:val="p"/>
            </m:rPr>
            <w:rPr>
              <w:rFonts w:ascii="Cambria Math" w:hAnsi="Cambria Math" w:cs="Times New Roman"/>
            </w:rPr>
            <m:t>Данные текущего баланса+ Кадастровая стоимость объектов недвижимости во владении - Данные задолженности по выписке из БКИ</m:t>
          </m:r>
        </m:oMath>
      </m:oMathPara>
    </w:p>
    <w:p w14:paraId="7DAF7254" w14:textId="77777777" w:rsidR="00B06B6F" w:rsidRPr="00FC7951" w:rsidRDefault="00B06B6F" w:rsidP="00725F19">
      <w:pPr>
        <w:ind w:firstLine="709"/>
        <w:jc w:val="both"/>
        <w:rPr>
          <w:rFonts w:ascii="Times New Roman" w:hAnsi="Times New Roman" w:cs="Times New Roman"/>
          <w:bCs/>
        </w:rPr>
      </w:pPr>
      <w:r w:rsidRPr="00FC7951">
        <w:rPr>
          <w:rFonts w:ascii="Times New Roman" w:hAnsi="Times New Roman" w:cs="Times New Roman"/>
          <w:bCs/>
        </w:rPr>
        <w:t xml:space="preserve">Эксперт с использованием предусмотренной (на вкладках внесения данных по участникам) шаблоном </w:t>
      </w:r>
      <w:r w:rsidRPr="00FC7951">
        <w:rPr>
          <w:rStyle w:val="10"/>
          <w:rFonts w:eastAsiaTheme="minorHAnsi"/>
          <w:bCs/>
        </w:rPr>
        <w:t>«</w:t>
      </w:r>
      <w:proofErr w:type="spellStart"/>
      <w:r w:rsidRPr="00FC7951">
        <w:rPr>
          <w:rStyle w:val="10"/>
          <w:rFonts w:eastAsiaTheme="minorHAnsi"/>
          <w:bCs/>
        </w:rPr>
        <w:t>Финэкспертиза</w:t>
      </w:r>
      <w:proofErr w:type="spellEnd"/>
      <w:r w:rsidRPr="00FC7951">
        <w:rPr>
          <w:rStyle w:val="10"/>
          <w:rFonts w:eastAsiaTheme="minorHAnsi"/>
          <w:bCs/>
        </w:rPr>
        <w:t>.</w:t>
      </w:r>
      <w:proofErr w:type="spellStart"/>
      <w:r w:rsidRPr="00FC7951">
        <w:rPr>
          <w:rStyle w:val="10"/>
          <w:rFonts w:eastAsiaTheme="minorHAnsi"/>
          <w:bCs/>
          <w:lang w:val="en-US"/>
        </w:rPr>
        <w:t>xls</w:t>
      </w:r>
      <w:proofErr w:type="spellEnd"/>
      <w:r w:rsidRPr="00FC7951">
        <w:rPr>
          <w:rStyle w:val="10"/>
          <w:rFonts w:eastAsiaTheme="minorHAnsi"/>
          <w:bCs/>
        </w:rPr>
        <w:t>»</w:t>
      </w:r>
      <w:r w:rsidRPr="00FC7951">
        <w:rPr>
          <w:rStyle w:val="10"/>
          <w:rFonts w:eastAsiaTheme="minorHAnsi"/>
        </w:rPr>
        <w:t xml:space="preserve"> </w:t>
      </w:r>
      <w:r w:rsidRPr="00FC7951">
        <w:rPr>
          <w:rFonts w:ascii="Times New Roman" w:hAnsi="Times New Roman" w:cs="Times New Roman"/>
          <w:bCs/>
        </w:rPr>
        <w:t>таблицы также осуществляет расчет коэффициента «Финансовая устойчивость индивидуального предпринимателя» по следующей формуле:</w:t>
      </w:r>
    </w:p>
    <w:p w14:paraId="4EC206C9" w14:textId="77777777" w:rsidR="00B06B6F" w:rsidRPr="00FC7951" w:rsidRDefault="00B06B6F" w:rsidP="00725F19">
      <w:pPr>
        <w:tabs>
          <w:tab w:val="left" w:pos="1134"/>
        </w:tabs>
        <w:spacing w:before="120" w:after="120"/>
        <w:ind w:firstLine="709"/>
        <w:jc w:val="both"/>
        <w:rPr>
          <w:rFonts w:ascii="Times New Roman" w:hAnsi="Times New Roman" w:cs="Times New Roman"/>
          <w:sz w:val="52"/>
          <w:szCs w:val="52"/>
        </w:rPr>
      </w:pPr>
      <m:oMathPara>
        <m:oMath>
          <m:r>
            <m:rPr>
              <m:sty m:val="p"/>
            </m:rPr>
            <w:rPr>
              <w:rFonts w:ascii="Cambria Math" w:hAnsi="Cambria Math" w:cs="Times New Roman"/>
            </w:rPr>
            <m:t>Финансовая устойчивость индивидуального предпринимателя=</m:t>
          </m:r>
          <m:f>
            <m:fPr>
              <m:ctrlPr>
                <w:rPr>
                  <w:rFonts w:ascii="Cambria Math" w:hAnsi="Cambria Math" w:cs="Times New Roman"/>
                  <w:bCs/>
                </w:rPr>
              </m:ctrlPr>
            </m:fPr>
            <m:num>
              <m:r>
                <w:rPr>
                  <w:rFonts w:ascii="Cambria Math" w:hAnsi="Cambria Math" w:cs="Times New Roman"/>
                </w:rPr>
                <m:t>(</m:t>
              </m:r>
              <m:r>
                <m:rPr>
                  <m:sty m:val="p"/>
                </m:rPr>
                <w:rPr>
                  <w:rFonts w:ascii="Cambria Math" w:hAnsi="Cambria Math" w:cs="Times New Roman"/>
                </w:rPr>
                <m:t>Данные текущего баланса + Кадастровая стоимость объектов недвижимости во владении )</m:t>
              </m:r>
            </m:num>
            <m:den>
              <m:r>
                <m:rPr>
                  <m:sty m:val="p"/>
                </m:rPr>
                <w:rPr>
                  <w:rFonts w:ascii="Cambria Math" w:hAnsi="Cambria Math" w:cs="Times New Roman"/>
                </w:rPr>
                <m:t>Данные задолженности по выписке из БКИ</m:t>
              </m:r>
            </m:den>
          </m:f>
          <m:r>
            <m:rPr>
              <m:sty m:val="p"/>
            </m:rPr>
            <w:rPr>
              <w:rFonts w:ascii="Cambria Math" w:hAnsi="Cambria Math" w:cs="Times New Roman"/>
            </w:rPr>
            <m:t xml:space="preserve"> </m:t>
          </m:r>
        </m:oMath>
      </m:oMathPara>
    </w:p>
    <w:p w14:paraId="048B3A0B" w14:textId="77777777" w:rsidR="00B06B6F" w:rsidRPr="00FC7951" w:rsidRDefault="00B06B6F" w:rsidP="00725F19">
      <w:pPr>
        <w:ind w:firstLine="709"/>
        <w:jc w:val="both"/>
        <w:rPr>
          <w:rFonts w:ascii="Times New Roman" w:hAnsi="Times New Roman" w:cs="Times New Roman"/>
          <w:bCs/>
        </w:rPr>
      </w:pPr>
    </w:p>
    <w:p w14:paraId="6C3E767C"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rPr>
        <w:t>После внесения всех данных и расчетов оценка по «</w:t>
      </w:r>
      <w:r w:rsidRPr="00FC7951">
        <w:rPr>
          <w:rFonts w:ascii="Times New Roman" w:hAnsi="Times New Roman" w:cs="Times New Roman"/>
          <w:bCs/>
          <w:color w:val="000000"/>
        </w:rPr>
        <w:t xml:space="preserve">Группе финансовых показателей» </w:t>
      </w:r>
      <w:r w:rsidRPr="00FC7951">
        <w:rPr>
          <w:rFonts w:ascii="Times New Roman" w:hAnsi="Times New Roman" w:cs="Times New Roman"/>
          <w:bCs/>
        </w:rPr>
        <w:t xml:space="preserve">по участнику – индивидуальному предпринимателю </w:t>
      </w:r>
      <w:r w:rsidRPr="00FC7951">
        <w:rPr>
          <w:rFonts w:ascii="Times New Roman" w:hAnsi="Times New Roman" w:cs="Times New Roman"/>
          <w:bCs/>
          <w:color w:val="000000"/>
        </w:rPr>
        <w:t>осуществляются согласно таблице ниже:</w:t>
      </w:r>
    </w:p>
    <w:tbl>
      <w:tblPr>
        <w:tblStyle w:val="a7"/>
        <w:tblW w:w="9351" w:type="dxa"/>
        <w:tblLayout w:type="fixed"/>
        <w:tblLook w:val="04A0" w:firstRow="1" w:lastRow="0" w:firstColumn="1" w:lastColumn="0" w:noHBand="0" w:noVBand="1"/>
      </w:tblPr>
      <w:tblGrid>
        <w:gridCol w:w="2830"/>
        <w:gridCol w:w="3544"/>
        <w:gridCol w:w="2977"/>
      </w:tblGrid>
      <w:tr w:rsidR="00B06B6F" w:rsidRPr="00FC7951" w14:paraId="5CC9D09D" w14:textId="77777777" w:rsidTr="001746C7">
        <w:tc>
          <w:tcPr>
            <w:tcW w:w="2830" w:type="dxa"/>
          </w:tcPr>
          <w:p w14:paraId="33545F9E" w14:textId="77777777" w:rsidR="00B06B6F" w:rsidRPr="00FC7951" w:rsidRDefault="00B06B6F" w:rsidP="00725F19">
            <w:pPr>
              <w:jc w:val="both"/>
              <w:rPr>
                <w:bCs/>
                <w:color w:val="000000"/>
              </w:rPr>
            </w:pPr>
            <w:r w:rsidRPr="00FC7951">
              <w:rPr>
                <w:bCs/>
                <w:color w:val="000000"/>
              </w:rPr>
              <w:t xml:space="preserve">Коэффициент </w:t>
            </w:r>
            <w:r w:rsidRPr="00FC7951">
              <w:rPr>
                <w:bCs/>
              </w:rPr>
              <w:t>«Финансовая устойчивость индивидуального предпринимателя», левая граница</w:t>
            </w:r>
          </w:p>
        </w:tc>
        <w:tc>
          <w:tcPr>
            <w:tcW w:w="3544" w:type="dxa"/>
          </w:tcPr>
          <w:p w14:paraId="46E511E1" w14:textId="77777777" w:rsidR="00B06B6F" w:rsidRPr="00FC7951" w:rsidRDefault="00B06B6F" w:rsidP="00725F19">
            <w:pPr>
              <w:jc w:val="both"/>
              <w:rPr>
                <w:bCs/>
                <w:color w:val="000000"/>
              </w:rPr>
            </w:pPr>
            <w:r w:rsidRPr="00FC7951">
              <w:rPr>
                <w:bCs/>
                <w:color w:val="000000"/>
              </w:rPr>
              <w:t xml:space="preserve">Коэффициент </w:t>
            </w:r>
            <w:r w:rsidRPr="00FC7951">
              <w:rPr>
                <w:bCs/>
              </w:rPr>
              <w:t>«Финансовая устойчивость индивидуального предпринимателя», правая граница</w:t>
            </w:r>
          </w:p>
        </w:tc>
        <w:tc>
          <w:tcPr>
            <w:tcW w:w="2977" w:type="dxa"/>
          </w:tcPr>
          <w:p w14:paraId="5CEBCAA4" w14:textId="77777777" w:rsidR="00B06B6F" w:rsidRPr="00FC7951" w:rsidRDefault="00B06B6F" w:rsidP="00725F19">
            <w:pPr>
              <w:jc w:val="both"/>
              <w:rPr>
                <w:bCs/>
                <w:color w:val="000000"/>
              </w:rPr>
            </w:pPr>
            <w:r w:rsidRPr="00FC7951">
              <w:rPr>
                <w:bCs/>
              </w:rPr>
              <w:t>Оценка по «</w:t>
            </w:r>
            <w:r w:rsidRPr="00FC7951">
              <w:rPr>
                <w:bCs/>
                <w:color w:val="000000"/>
              </w:rPr>
              <w:t>Группе финансовых показателей»</w:t>
            </w:r>
          </w:p>
        </w:tc>
      </w:tr>
      <w:tr w:rsidR="00B06B6F" w:rsidRPr="00FC7951" w14:paraId="287827F6" w14:textId="77777777" w:rsidTr="001746C7">
        <w:tc>
          <w:tcPr>
            <w:tcW w:w="2830" w:type="dxa"/>
            <w:vAlign w:val="center"/>
          </w:tcPr>
          <w:p w14:paraId="45550B79" w14:textId="77777777" w:rsidR="00B06B6F" w:rsidRPr="00FC7951" w:rsidRDefault="00B06B6F" w:rsidP="00725F19">
            <w:pPr>
              <w:jc w:val="center"/>
              <w:rPr>
                <w:bCs/>
                <w:color w:val="000000"/>
              </w:rPr>
            </w:pPr>
            <w:r w:rsidRPr="00FC7951">
              <w:rPr>
                <w:bCs/>
                <w:color w:val="000000"/>
              </w:rPr>
              <w:t>-</w:t>
            </w:r>
          </w:p>
        </w:tc>
        <w:tc>
          <w:tcPr>
            <w:tcW w:w="3544" w:type="dxa"/>
            <w:vAlign w:val="center"/>
          </w:tcPr>
          <w:p w14:paraId="6AA60522" w14:textId="77777777" w:rsidR="00B06B6F" w:rsidRPr="00FC7951" w:rsidRDefault="00B06B6F" w:rsidP="00725F19">
            <w:pPr>
              <w:jc w:val="center"/>
              <w:rPr>
                <w:bCs/>
                <w:color w:val="000000"/>
              </w:rPr>
            </w:pPr>
            <w:r w:rsidRPr="00FC7951">
              <w:rPr>
                <w:bCs/>
                <w:color w:val="000000"/>
              </w:rPr>
              <w:t>менее 1,0</w:t>
            </w:r>
          </w:p>
        </w:tc>
        <w:tc>
          <w:tcPr>
            <w:tcW w:w="2977" w:type="dxa"/>
            <w:vAlign w:val="center"/>
          </w:tcPr>
          <w:p w14:paraId="7E1FE3EE" w14:textId="77777777" w:rsidR="00B06B6F" w:rsidRPr="00FC7951" w:rsidRDefault="00B06B6F" w:rsidP="00725F19">
            <w:pPr>
              <w:jc w:val="center"/>
              <w:rPr>
                <w:bCs/>
                <w:color w:val="000000"/>
              </w:rPr>
            </w:pPr>
            <w:r w:rsidRPr="00FC7951">
              <w:rPr>
                <w:bCs/>
                <w:color w:val="000000"/>
              </w:rPr>
              <w:t xml:space="preserve">Стоп-фактор (по аналогии с </w:t>
            </w:r>
            <w:r w:rsidRPr="00FC7951">
              <w:t>отрицательным значением 3-го раздела баланса (капитал и резервы)</w:t>
            </w:r>
          </w:p>
        </w:tc>
      </w:tr>
      <w:tr w:rsidR="00B06B6F" w:rsidRPr="00FC7951" w14:paraId="2A462BC3" w14:textId="77777777" w:rsidTr="001746C7">
        <w:tc>
          <w:tcPr>
            <w:tcW w:w="2830" w:type="dxa"/>
          </w:tcPr>
          <w:p w14:paraId="24A1BDA5" w14:textId="77777777" w:rsidR="00B06B6F" w:rsidRPr="00FC7951" w:rsidRDefault="00B06B6F" w:rsidP="00725F19">
            <w:pPr>
              <w:jc w:val="center"/>
              <w:rPr>
                <w:bCs/>
                <w:color w:val="000000"/>
              </w:rPr>
            </w:pPr>
            <w:r w:rsidRPr="00FC7951">
              <w:rPr>
                <w:bCs/>
                <w:color w:val="000000"/>
              </w:rPr>
              <w:t>более или равно 1,0</w:t>
            </w:r>
          </w:p>
        </w:tc>
        <w:tc>
          <w:tcPr>
            <w:tcW w:w="3544" w:type="dxa"/>
          </w:tcPr>
          <w:p w14:paraId="6BF51C09" w14:textId="77777777" w:rsidR="00B06B6F" w:rsidRPr="00FC7951" w:rsidRDefault="00B06B6F" w:rsidP="00725F19">
            <w:pPr>
              <w:jc w:val="center"/>
              <w:rPr>
                <w:bCs/>
                <w:color w:val="000000"/>
              </w:rPr>
            </w:pPr>
            <w:r w:rsidRPr="00FC7951">
              <w:rPr>
                <w:bCs/>
                <w:color w:val="000000"/>
              </w:rPr>
              <w:t>менее 1,5</w:t>
            </w:r>
          </w:p>
        </w:tc>
        <w:tc>
          <w:tcPr>
            <w:tcW w:w="2977" w:type="dxa"/>
          </w:tcPr>
          <w:p w14:paraId="35416ED8" w14:textId="77777777" w:rsidR="00B06B6F" w:rsidRPr="00FC7951" w:rsidRDefault="00B06B6F" w:rsidP="00725F19">
            <w:pPr>
              <w:jc w:val="center"/>
              <w:rPr>
                <w:bCs/>
                <w:color w:val="000000"/>
              </w:rPr>
            </w:pPr>
            <w:r w:rsidRPr="00FC7951">
              <w:rPr>
                <w:bCs/>
                <w:color w:val="000000"/>
              </w:rPr>
              <w:t>0,14</w:t>
            </w:r>
          </w:p>
        </w:tc>
      </w:tr>
      <w:tr w:rsidR="00B06B6F" w:rsidRPr="00FC7951" w14:paraId="58454BA6" w14:textId="77777777" w:rsidTr="001746C7">
        <w:tc>
          <w:tcPr>
            <w:tcW w:w="2830" w:type="dxa"/>
          </w:tcPr>
          <w:p w14:paraId="6109A2C4" w14:textId="77777777" w:rsidR="00B06B6F" w:rsidRPr="00FC7951" w:rsidRDefault="00B06B6F" w:rsidP="00725F19">
            <w:pPr>
              <w:jc w:val="center"/>
              <w:rPr>
                <w:bCs/>
                <w:color w:val="000000"/>
              </w:rPr>
            </w:pPr>
            <w:r w:rsidRPr="00FC7951">
              <w:rPr>
                <w:bCs/>
                <w:color w:val="000000"/>
              </w:rPr>
              <w:t>более или равно 1,5</w:t>
            </w:r>
          </w:p>
        </w:tc>
        <w:tc>
          <w:tcPr>
            <w:tcW w:w="3544" w:type="dxa"/>
          </w:tcPr>
          <w:p w14:paraId="49B62B9E" w14:textId="77777777" w:rsidR="00B06B6F" w:rsidRPr="00FC7951" w:rsidRDefault="00B06B6F" w:rsidP="00725F19">
            <w:pPr>
              <w:jc w:val="center"/>
              <w:rPr>
                <w:bCs/>
                <w:color w:val="000000"/>
              </w:rPr>
            </w:pPr>
            <w:r w:rsidRPr="00FC7951">
              <w:rPr>
                <w:bCs/>
                <w:color w:val="000000"/>
              </w:rPr>
              <w:t>менее 2,0</w:t>
            </w:r>
          </w:p>
        </w:tc>
        <w:tc>
          <w:tcPr>
            <w:tcW w:w="2977" w:type="dxa"/>
          </w:tcPr>
          <w:p w14:paraId="6CB4343F" w14:textId="77777777" w:rsidR="00B06B6F" w:rsidRPr="00FC7951" w:rsidRDefault="00B06B6F" w:rsidP="00725F19">
            <w:pPr>
              <w:jc w:val="center"/>
              <w:rPr>
                <w:bCs/>
                <w:color w:val="000000"/>
              </w:rPr>
            </w:pPr>
            <w:r w:rsidRPr="00FC7951">
              <w:rPr>
                <w:bCs/>
                <w:color w:val="000000"/>
              </w:rPr>
              <w:t>0,35</w:t>
            </w:r>
          </w:p>
        </w:tc>
      </w:tr>
      <w:tr w:rsidR="00B06B6F" w:rsidRPr="00FC7951" w14:paraId="4B2420D4" w14:textId="77777777" w:rsidTr="001746C7">
        <w:tc>
          <w:tcPr>
            <w:tcW w:w="2830" w:type="dxa"/>
          </w:tcPr>
          <w:p w14:paraId="7573F565" w14:textId="77777777" w:rsidR="00B06B6F" w:rsidRPr="00FC7951" w:rsidRDefault="00B06B6F" w:rsidP="00725F19">
            <w:pPr>
              <w:jc w:val="center"/>
              <w:rPr>
                <w:bCs/>
                <w:color w:val="000000"/>
              </w:rPr>
            </w:pPr>
            <w:r w:rsidRPr="00FC7951">
              <w:rPr>
                <w:bCs/>
                <w:color w:val="000000"/>
              </w:rPr>
              <w:t>более или равно 2</w:t>
            </w:r>
          </w:p>
          <w:p w14:paraId="7C9A1893" w14:textId="77777777" w:rsidR="00B06B6F" w:rsidRPr="00FC7951" w:rsidRDefault="00B06B6F" w:rsidP="00725F19">
            <w:pPr>
              <w:jc w:val="center"/>
              <w:rPr>
                <w:bCs/>
                <w:color w:val="000000"/>
              </w:rPr>
            </w:pPr>
            <w:r w:rsidRPr="00FC7951">
              <w:rPr>
                <w:bCs/>
                <w:color w:val="000000"/>
              </w:rPr>
              <w:t>или</w:t>
            </w:r>
          </w:p>
          <w:p w14:paraId="3EADCD64" w14:textId="77777777" w:rsidR="00B06B6F" w:rsidRPr="00FC7951" w:rsidRDefault="00B06B6F" w:rsidP="00725F19">
            <w:pPr>
              <w:jc w:val="center"/>
              <w:rPr>
                <w:bCs/>
                <w:color w:val="000000"/>
              </w:rPr>
            </w:pPr>
            <w:r w:rsidRPr="00FC7951">
              <w:rPr>
                <w:bCs/>
                <w:color w:val="000000"/>
              </w:rPr>
              <w:t>отсутствует задолженность по выписке из БКИ</w:t>
            </w:r>
          </w:p>
        </w:tc>
        <w:tc>
          <w:tcPr>
            <w:tcW w:w="3544" w:type="dxa"/>
            <w:vAlign w:val="center"/>
          </w:tcPr>
          <w:p w14:paraId="2CAD5743" w14:textId="77777777" w:rsidR="00B06B6F" w:rsidRPr="00FC7951" w:rsidRDefault="00B06B6F" w:rsidP="00725F19">
            <w:pPr>
              <w:jc w:val="center"/>
              <w:rPr>
                <w:bCs/>
                <w:color w:val="000000"/>
              </w:rPr>
            </w:pPr>
            <w:r w:rsidRPr="00FC7951">
              <w:rPr>
                <w:bCs/>
                <w:color w:val="000000"/>
              </w:rPr>
              <w:t>-</w:t>
            </w:r>
          </w:p>
        </w:tc>
        <w:tc>
          <w:tcPr>
            <w:tcW w:w="2977" w:type="dxa"/>
            <w:vAlign w:val="center"/>
          </w:tcPr>
          <w:p w14:paraId="10F96854" w14:textId="77777777" w:rsidR="00B06B6F" w:rsidRPr="00FC7951" w:rsidRDefault="00B06B6F" w:rsidP="00725F19">
            <w:pPr>
              <w:jc w:val="center"/>
              <w:rPr>
                <w:bCs/>
                <w:color w:val="000000"/>
              </w:rPr>
            </w:pPr>
            <w:r w:rsidRPr="00FC7951">
              <w:rPr>
                <w:bCs/>
                <w:color w:val="000000"/>
              </w:rPr>
              <w:t>0,53</w:t>
            </w:r>
          </w:p>
        </w:tc>
      </w:tr>
    </w:tbl>
    <w:p w14:paraId="440C3557"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Данные оценки получены путем калибровки модели, используемой для ЮЛ, не являющихся индивидуальными предпринимателями.</w:t>
      </w:r>
    </w:p>
    <w:p w14:paraId="236719A8" w14:textId="77777777" w:rsidR="00B06B6F" w:rsidRPr="00FC7951" w:rsidRDefault="00B06B6F" w:rsidP="00725F19">
      <w:pPr>
        <w:ind w:firstLine="709"/>
        <w:jc w:val="both"/>
        <w:rPr>
          <w:rFonts w:ascii="Times New Roman" w:hAnsi="Times New Roman" w:cs="Times New Roman"/>
          <w:bCs/>
          <w:color w:val="000000"/>
        </w:rPr>
      </w:pPr>
      <w:r w:rsidRPr="00FC7951">
        <w:rPr>
          <w:rFonts w:ascii="Times New Roman" w:hAnsi="Times New Roman" w:cs="Times New Roman"/>
          <w:bCs/>
          <w:color w:val="000000"/>
        </w:rPr>
        <w:t>Полученные оценки автоматически подтягиваются в строку «Сумма набранных баллов (фин. устойчивость)» вкладки «СВОД ФОРМА».</w:t>
      </w:r>
    </w:p>
    <w:p w14:paraId="45500DB5" w14:textId="77777777" w:rsidR="00B06B6F" w:rsidRPr="00FC7951" w:rsidRDefault="00B06B6F" w:rsidP="00725F19">
      <w:pPr>
        <w:ind w:firstLine="709"/>
        <w:jc w:val="both"/>
        <w:rPr>
          <w:rFonts w:ascii="Times New Roman" w:hAnsi="Times New Roman" w:cs="Times New Roman"/>
          <w:bCs/>
          <w:color w:val="000000"/>
        </w:rPr>
      </w:pPr>
    </w:p>
    <w:p w14:paraId="2B2AC421" w14:textId="77777777" w:rsidR="00B06B6F" w:rsidRPr="00FC7951" w:rsidRDefault="00B06B6F" w:rsidP="00725F19">
      <w:pPr>
        <w:pStyle w:val="ac"/>
        <w:numPr>
          <w:ilvl w:val="2"/>
          <w:numId w:val="16"/>
        </w:numPr>
        <w:ind w:left="0" w:firstLine="709"/>
        <w:jc w:val="both"/>
        <w:rPr>
          <w:bCs/>
        </w:rPr>
      </w:pPr>
      <w:r w:rsidRPr="00FC7951">
        <w:rPr>
          <w:bCs/>
        </w:rPr>
        <w:lastRenderedPageBreak/>
        <w:t>Раздел 8 Методики применяется, при этом из состава показателей исключаются (с пропорциональным перераспределением весов):</w:t>
      </w:r>
    </w:p>
    <w:p w14:paraId="22B2E4A1" w14:textId="77777777" w:rsidR="00B06B6F" w:rsidRPr="00FC7951" w:rsidRDefault="00B06B6F" w:rsidP="00725F19">
      <w:pPr>
        <w:pStyle w:val="ac"/>
        <w:numPr>
          <w:ilvl w:val="0"/>
          <w:numId w:val="40"/>
        </w:numPr>
        <w:ind w:left="1134" w:hanging="425"/>
        <w:jc w:val="both"/>
        <w:rPr>
          <w:bCs/>
        </w:rPr>
      </w:pPr>
      <w:r w:rsidRPr="00FC7951">
        <w:rPr>
          <w:bCs/>
        </w:rPr>
        <w:t>Сумма закупки / Активы;</w:t>
      </w:r>
    </w:p>
    <w:p w14:paraId="43F9C8A2" w14:textId="77777777" w:rsidR="00B06B6F" w:rsidRPr="00FC7951" w:rsidRDefault="00B06B6F" w:rsidP="00725F19">
      <w:pPr>
        <w:pStyle w:val="ac"/>
        <w:numPr>
          <w:ilvl w:val="0"/>
          <w:numId w:val="40"/>
        </w:numPr>
        <w:ind w:left="1134" w:hanging="425"/>
        <w:jc w:val="both"/>
        <w:rPr>
          <w:bCs/>
        </w:rPr>
      </w:pPr>
      <w:r w:rsidRPr="00FC7951">
        <w:rPr>
          <w:bCs/>
        </w:rPr>
        <w:t>Величина аванса / Активы.</w:t>
      </w:r>
    </w:p>
    <w:p w14:paraId="6092C804" w14:textId="77777777" w:rsidR="00B06B6F" w:rsidRPr="00FC7951" w:rsidRDefault="00B06B6F" w:rsidP="00725F19">
      <w:pPr>
        <w:pStyle w:val="ac"/>
        <w:numPr>
          <w:ilvl w:val="2"/>
          <w:numId w:val="16"/>
        </w:numPr>
        <w:ind w:left="0" w:firstLine="709"/>
        <w:jc w:val="both"/>
        <w:rPr>
          <w:bCs/>
        </w:rPr>
      </w:pPr>
      <w:r w:rsidRPr="00FC7951">
        <w:rPr>
          <w:bCs/>
        </w:rPr>
        <w:t>Раздел 9 Методики применяется без ограничений и исключений. При этом совокупная оценка по «</w:t>
      </w:r>
      <w:r w:rsidRPr="00FC7951">
        <w:rPr>
          <w:bCs/>
          <w:color w:val="000000"/>
        </w:rPr>
        <w:t xml:space="preserve">Группе финансовых показателей» в рамках </w:t>
      </w:r>
      <w:proofErr w:type="spellStart"/>
      <w:r w:rsidRPr="00FC7951">
        <w:rPr>
          <w:bCs/>
          <w:color w:val="000000"/>
        </w:rPr>
        <w:t>пп</w:t>
      </w:r>
      <w:proofErr w:type="spellEnd"/>
      <w:r w:rsidRPr="00FC7951">
        <w:rPr>
          <w:bCs/>
          <w:color w:val="000000"/>
        </w:rPr>
        <w:t xml:space="preserve">. 9.5. используется согласно </w:t>
      </w:r>
      <w:proofErr w:type="spellStart"/>
      <w:r w:rsidRPr="00FC7951">
        <w:rPr>
          <w:bCs/>
          <w:color w:val="000000"/>
        </w:rPr>
        <w:t>пп</w:t>
      </w:r>
      <w:proofErr w:type="spellEnd"/>
      <w:r w:rsidRPr="00FC7951">
        <w:rPr>
          <w:bCs/>
          <w:color w:val="000000"/>
        </w:rPr>
        <w:t xml:space="preserve">. 4.3.1. </w:t>
      </w:r>
      <w:r w:rsidRPr="00FC7951">
        <w:t xml:space="preserve">настоящего Приложения. С учетом </w:t>
      </w:r>
      <w:proofErr w:type="spellStart"/>
      <w:r w:rsidRPr="00FC7951">
        <w:t>пп</w:t>
      </w:r>
      <w:proofErr w:type="spellEnd"/>
      <w:r w:rsidRPr="00FC7951">
        <w:t>. 4.3.2.  таблица «Весовые коэффициенты» применяется в соответствии с нижеприведенной:</w:t>
      </w:r>
    </w:p>
    <w:p w14:paraId="7A102122" w14:textId="77777777" w:rsidR="00B06B6F" w:rsidRPr="00FC7951" w:rsidRDefault="00B06B6F" w:rsidP="00725F19">
      <w:pPr>
        <w:pStyle w:val="ac"/>
        <w:spacing w:before="120" w:after="120"/>
        <w:ind w:left="360"/>
        <w:jc w:val="right"/>
      </w:pPr>
      <w:r w:rsidRPr="00FC7951">
        <w:t>Таблица Весовые коэффициенты для индивидуальных предпринимателей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3061"/>
        <w:gridCol w:w="663"/>
        <w:gridCol w:w="2321"/>
        <w:gridCol w:w="992"/>
        <w:gridCol w:w="1276"/>
      </w:tblGrid>
      <w:tr w:rsidR="00B06B6F" w:rsidRPr="00FC7951" w14:paraId="638DDFF7" w14:textId="77777777" w:rsidTr="001746C7">
        <w:trPr>
          <w:trHeight w:val="2235"/>
        </w:trPr>
        <w:tc>
          <w:tcPr>
            <w:tcW w:w="1050" w:type="dxa"/>
            <w:shd w:val="clear" w:color="auto" w:fill="auto"/>
            <w:noWrap/>
            <w:vAlign w:val="bottom"/>
          </w:tcPr>
          <w:p w14:paraId="57D413D4"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noWrap/>
            <w:vAlign w:val="bottom"/>
          </w:tcPr>
          <w:p w14:paraId="7E099D3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656" w:type="dxa"/>
            <w:shd w:val="clear" w:color="auto" w:fill="auto"/>
            <w:textDirection w:val="btLr"/>
            <w:vAlign w:val="center"/>
          </w:tcPr>
          <w:p w14:paraId="51E1CB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группы</w:t>
            </w:r>
          </w:p>
        </w:tc>
        <w:tc>
          <w:tcPr>
            <w:tcW w:w="2321" w:type="dxa"/>
            <w:shd w:val="clear" w:color="auto" w:fill="auto"/>
            <w:noWrap/>
            <w:vAlign w:val="center"/>
          </w:tcPr>
          <w:p w14:paraId="5E5762DC"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Показатель</w:t>
            </w:r>
          </w:p>
        </w:tc>
        <w:tc>
          <w:tcPr>
            <w:tcW w:w="992" w:type="dxa"/>
            <w:shd w:val="clear" w:color="auto" w:fill="auto"/>
            <w:textDirection w:val="btLr"/>
            <w:vAlign w:val="center"/>
          </w:tcPr>
          <w:p w14:paraId="59786FE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Вес показателя внутри группы</w:t>
            </w:r>
          </w:p>
        </w:tc>
        <w:tc>
          <w:tcPr>
            <w:tcW w:w="1276" w:type="dxa"/>
            <w:shd w:val="clear" w:color="auto" w:fill="auto"/>
            <w:textDirection w:val="btLr"/>
            <w:vAlign w:val="center"/>
          </w:tcPr>
          <w:p w14:paraId="7C690265"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Итоговый вес показателя с учетом веса группы показателей</w:t>
            </w:r>
          </w:p>
        </w:tc>
      </w:tr>
      <w:tr w:rsidR="00B06B6F" w:rsidRPr="00FC7951" w14:paraId="707D4C62" w14:textId="77777777" w:rsidTr="001746C7">
        <w:trPr>
          <w:trHeight w:val="1520"/>
        </w:trPr>
        <w:tc>
          <w:tcPr>
            <w:tcW w:w="1050" w:type="dxa"/>
            <w:shd w:val="clear" w:color="auto" w:fill="auto"/>
            <w:textDirection w:val="btLr"/>
            <w:vAlign w:val="center"/>
          </w:tcPr>
          <w:p w14:paraId="54D5E98F"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финансовых показателей</w:t>
            </w:r>
          </w:p>
        </w:tc>
        <w:tc>
          <w:tcPr>
            <w:tcW w:w="8306" w:type="dxa"/>
            <w:gridSpan w:val="5"/>
            <w:shd w:val="clear" w:color="auto" w:fill="auto"/>
            <w:vAlign w:val="center"/>
          </w:tcPr>
          <w:p w14:paraId="2D6E0331"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В соответствии с п. 4.3.1. настоящего Приложения</w:t>
            </w:r>
          </w:p>
        </w:tc>
      </w:tr>
      <w:tr w:rsidR="00B06B6F" w:rsidRPr="00FC7951" w14:paraId="7CB18503" w14:textId="77777777" w:rsidTr="001746C7">
        <w:trPr>
          <w:trHeight w:val="705"/>
        </w:trPr>
        <w:tc>
          <w:tcPr>
            <w:tcW w:w="1050" w:type="dxa"/>
            <w:vMerge w:val="restart"/>
            <w:shd w:val="clear" w:color="auto" w:fill="auto"/>
            <w:textDirection w:val="btLr"/>
            <w:vAlign w:val="center"/>
          </w:tcPr>
          <w:p w14:paraId="11E846C9" w14:textId="77777777" w:rsidR="00B06B6F" w:rsidRPr="00FC7951" w:rsidRDefault="00B06B6F" w:rsidP="00725F19">
            <w:pPr>
              <w:jc w:val="center"/>
              <w:rPr>
                <w:rFonts w:ascii="Times New Roman" w:hAnsi="Times New Roman" w:cs="Times New Roman"/>
                <w:b/>
                <w:color w:val="000000"/>
              </w:rPr>
            </w:pPr>
            <w:r w:rsidRPr="00FC7951">
              <w:rPr>
                <w:rFonts w:ascii="Times New Roman" w:hAnsi="Times New Roman" w:cs="Times New Roman"/>
                <w:b/>
                <w:color w:val="000000"/>
              </w:rPr>
              <w:t>Группа показателей бизнес-риска</w:t>
            </w:r>
          </w:p>
        </w:tc>
        <w:tc>
          <w:tcPr>
            <w:tcW w:w="3061" w:type="dxa"/>
            <w:shd w:val="clear" w:color="auto" w:fill="auto"/>
          </w:tcPr>
          <w:p w14:paraId="16F0582D"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4 группа</w:t>
            </w:r>
            <w:r w:rsidRPr="00FC7951">
              <w:rPr>
                <w:rFonts w:ascii="Times New Roman" w:hAnsi="Times New Roman" w:cs="Times New Roman"/>
                <w:color w:val="000000"/>
              </w:rPr>
              <w:t xml:space="preserve"> Соответствие масштабов деятельности участника закупочной процедуры сумме закупки (в сравнении с активами, с выручкой)</w:t>
            </w:r>
          </w:p>
        </w:tc>
        <w:tc>
          <w:tcPr>
            <w:tcW w:w="656" w:type="dxa"/>
            <w:shd w:val="clear" w:color="auto" w:fill="auto"/>
            <w:vAlign w:val="center"/>
          </w:tcPr>
          <w:p w14:paraId="1D7370F2"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0,38</w:t>
            </w:r>
          </w:p>
        </w:tc>
        <w:tc>
          <w:tcPr>
            <w:tcW w:w="2321" w:type="dxa"/>
            <w:shd w:val="clear" w:color="auto" w:fill="auto"/>
            <w:vAlign w:val="center"/>
          </w:tcPr>
          <w:p w14:paraId="70C0A909"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Сумма закупки / Выручка</w:t>
            </w:r>
          </w:p>
        </w:tc>
        <w:tc>
          <w:tcPr>
            <w:tcW w:w="992" w:type="dxa"/>
            <w:shd w:val="clear" w:color="auto" w:fill="auto"/>
            <w:noWrap/>
            <w:vAlign w:val="center"/>
          </w:tcPr>
          <w:p w14:paraId="2A21B628"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6A55E7FB"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0,38</w:t>
            </w:r>
          </w:p>
        </w:tc>
      </w:tr>
      <w:tr w:rsidR="00B06B6F" w:rsidRPr="00FC7951" w14:paraId="6F0231C8" w14:textId="77777777" w:rsidTr="001746C7">
        <w:trPr>
          <w:trHeight w:val="685"/>
        </w:trPr>
        <w:tc>
          <w:tcPr>
            <w:tcW w:w="1050" w:type="dxa"/>
            <w:vMerge/>
            <w:vAlign w:val="center"/>
          </w:tcPr>
          <w:p w14:paraId="4148B575"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1D661C9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5 группа</w:t>
            </w:r>
            <w:r w:rsidRPr="00FC7951">
              <w:rPr>
                <w:rFonts w:ascii="Times New Roman" w:hAnsi="Times New Roman" w:cs="Times New Roman"/>
                <w:color w:val="000000"/>
              </w:rPr>
              <w:t xml:space="preserve"> Срок существования участника</w:t>
            </w:r>
          </w:p>
        </w:tc>
        <w:tc>
          <w:tcPr>
            <w:tcW w:w="656" w:type="dxa"/>
            <w:shd w:val="clear" w:color="auto" w:fill="auto"/>
            <w:vAlign w:val="center"/>
          </w:tcPr>
          <w:p w14:paraId="71640447"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0,18</w:t>
            </w:r>
          </w:p>
        </w:tc>
        <w:tc>
          <w:tcPr>
            <w:tcW w:w="2321" w:type="dxa"/>
            <w:shd w:val="clear" w:color="auto" w:fill="auto"/>
          </w:tcPr>
          <w:p w14:paraId="25050ACF" w14:textId="77777777" w:rsidR="00B06B6F" w:rsidRPr="00FC7951" w:rsidRDefault="00B06B6F" w:rsidP="00725F19">
            <w:pPr>
              <w:rPr>
                <w:rFonts w:ascii="Times New Roman" w:hAnsi="Times New Roman" w:cs="Times New Roman"/>
                <w:i/>
                <w:color w:val="000000"/>
              </w:rPr>
            </w:pPr>
          </w:p>
        </w:tc>
        <w:tc>
          <w:tcPr>
            <w:tcW w:w="992" w:type="dxa"/>
            <w:shd w:val="clear" w:color="auto" w:fill="auto"/>
            <w:noWrap/>
            <w:vAlign w:val="center"/>
          </w:tcPr>
          <w:p w14:paraId="4D7C7A25"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3B66BA34"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0,18</w:t>
            </w:r>
          </w:p>
        </w:tc>
      </w:tr>
      <w:tr w:rsidR="00B06B6F" w:rsidRPr="00FC7951" w14:paraId="1A77CAD3" w14:textId="77777777" w:rsidTr="001746C7">
        <w:trPr>
          <w:trHeight w:val="900"/>
        </w:trPr>
        <w:tc>
          <w:tcPr>
            <w:tcW w:w="1050" w:type="dxa"/>
            <w:vMerge/>
            <w:vAlign w:val="center"/>
          </w:tcPr>
          <w:p w14:paraId="423CBE24" w14:textId="77777777" w:rsidR="00B06B6F" w:rsidRPr="00FC7951" w:rsidRDefault="00B06B6F" w:rsidP="00725F19">
            <w:pPr>
              <w:rPr>
                <w:rFonts w:ascii="Times New Roman" w:hAnsi="Times New Roman" w:cs="Times New Roman"/>
                <w:color w:val="000000"/>
              </w:rPr>
            </w:pPr>
          </w:p>
        </w:tc>
        <w:tc>
          <w:tcPr>
            <w:tcW w:w="3061" w:type="dxa"/>
            <w:shd w:val="clear" w:color="auto" w:fill="auto"/>
          </w:tcPr>
          <w:p w14:paraId="2F5747EA"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b/>
                <w:color w:val="000000"/>
              </w:rPr>
              <w:t>6 группа</w:t>
            </w:r>
            <w:r w:rsidRPr="00FC7951">
              <w:rPr>
                <w:rFonts w:ascii="Times New Roman" w:hAnsi="Times New Roman" w:cs="Times New Roman"/>
                <w:color w:val="000000"/>
              </w:rPr>
              <w:t xml:space="preserve"> Финансовые условия сделки</w:t>
            </w:r>
            <w:r w:rsidRPr="00FC7951">
              <w:rPr>
                <w:rFonts w:ascii="Times New Roman" w:hAnsi="Times New Roman" w:cs="Times New Roman"/>
                <w:color w:val="000000"/>
              </w:rPr>
              <w:br/>
              <w:t>- авансовые платежи есть/нет</w:t>
            </w:r>
            <w:r w:rsidRPr="00FC7951">
              <w:rPr>
                <w:rFonts w:ascii="Times New Roman" w:hAnsi="Times New Roman" w:cs="Times New Roman"/>
                <w:color w:val="000000"/>
              </w:rPr>
              <w:br/>
              <w:t>- обеспечение (</w:t>
            </w:r>
            <w:r w:rsidRPr="00FC7951">
              <w:rPr>
                <w:rFonts w:ascii="Times New Roman" w:hAnsi="Times New Roman" w:cs="Times New Roman"/>
              </w:rPr>
              <w:t>независим</w:t>
            </w:r>
            <w:r w:rsidRPr="00FC7951">
              <w:rPr>
                <w:rFonts w:ascii="Times New Roman" w:hAnsi="Times New Roman" w:cs="Times New Roman"/>
                <w:color w:val="000000"/>
              </w:rPr>
              <w:t>ая гарантия)</w:t>
            </w:r>
          </w:p>
        </w:tc>
        <w:tc>
          <w:tcPr>
            <w:tcW w:w="656" w:type="dxa"/>
            <w:shd w:val="clear" w:color="auto" w:fill="auto"/>
            <w:vAlign w:val="center"/>
          </w:tcPr>
          <w:p w14:paraId="426EB7DF"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0,23</w:t>
            </w:r>
          </w:p>
        </w:tc>
        <w:tc>
          <w:tcPr>
            <w:tcW w:w="2321" w:type="dxa"/>
            <w:shd w:val="clear" w:color="auto" w:fill="auto"/>
          </w:tcPr>
          <w:p w14:paraId="2C90B403"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992" w:type="dxa"/>
            <w:shd w:val="clear" w:color="auto" w:fill="auto"/>
            <w:noWrap/>
            <w:vAlign w:val="center"/>
          </w:tcPr>
          <w:p w14:paraId="4656B44D" w14:textId="77777777" w:rsidR="00B06B6F" w:rsidRPr="00FC7951" w:rsidRDefault="00B06B6F" w:rsidP="00725F19">
            <w:pPr>
              <w:jc w:val="right"/>
              <w:rPr>
                <w:rFonts w:ascii="Times New Roman" w:hAnsi="Times New Roman" w:cs="Times New Roman"/>
                <w:i/>
                <w:color w:val="000000"/>
              </w:rPr>
            </w:pPr>
            <w:r w:rsidRPr="00FC7951">
              <w:rPr>
                <w:rFonts w:ascii="Times New Roman" w:hAnsi="Times New Roman" w:cs="Times New Roman"/>
                <w:i/>
                <w:color w:val="000000"/>
              </w:rPr>
              <w:t>100%</w:t>
            </w:r>
          </w:p>
        </w:tc>
        <w:tc>
          <w:tcPr>
            <w:tcW w:w="1276" w:type="dxa"/>
            <w:shd w:val="clear" w:color="auto" w:fill="auto"/>
            <w:noWrap/>
            <w:vAlign w:val="center"/>
          </w:tcPr>
          <w:p w14:paraId="074FC651"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0,23</w:t>
            </w:r>
          </w:p>
        </w:tc>
      </w:tr>
      <w:tr w:rsidR="00B06B6F" w:rsidRPr="00FC7951" w14:paraId="171189B6" w14:textId="77777777" w:rsidTr="001746C7">
        <w:trPr>
          <w:trHeight w:val="300"/>
        </w:trPr>
        <w:tc>
          <w:tcPr>
            <w:tcW w:w="1050" w:type="dxa"/>
            <w:shd w:val="clear" w:color="auto" w:fill="auto"/>
            <w:textDirection w:val="btLr"/>
            <w:vAlign w:val="bottom"/>
          </w:tcPr>
          <w:p w14:paraId="00ACB961"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 </w:t>
            </w:r>
          </w:p>
        </w:tc>
        <w:tc>
          <w:tcPr>
            <w:tcW w:w="3061" w:type="dxa"/>
            <w:shd w:val="clear" w:color="auto" w:fill="auto"/>
          </w:tcPr>
          <w:p w14:paraId="7D505E9B" w14:textId="77777777" w:rsidR="00B06B6F" w:rsidRPr="00FC7951" w:rsidRDefault="00B06B6F" w:rsidP="00725F19">
            <w:pPr>
              <w:rPr>
                <w:rFonts w:ascii="Times New Roman" w:hAnsi="Times New Roman" w:cs="Times New Roman"/>
                <w:color w:val="000000"/>
              </w:rPr>
            </w:pPr>
            <w:r w:rsidRPr="00FC7951">
              <w:rPr>
                <w:rFonts w:ascii="Times New Roman" w:hAnsi="Times New Roman" w:cs="Times New Roman"/>
                <w:color w:val="000000"/>
              </w:rPr>
              <w:t>Константа*</w:t>
            </w:r>
          </w:p>
        </w:tc>
        <w:tc>
          <w:tcPr>
            <w:tcW w:w="656" w:type="dxa"/>
            <w:shd w:val="clear" w:color="auto" w:fill="auto"/>
            <w:vAlign w:val="center"/>
          </w:tcPr>
          <w:p w14:paraId="0F4A4C23" w14:textId="77777777" w:rsidR="00B06B6F" w:rsidRPr="00FC7951" w:rsidRDefault="00B06B6F" w:rsidP="00725F19">
            <w:pPr>
              <w:jc w:val="center"/>
              <w:rPr>
                <w:rFonts w:ascii="Times New Roman" w:hAnsi="Times New Roman" w:cs="Times New Roman"/>
                <w:color w:val="000000"/>
              </w:rPr>
            </w:pPr>
            <w:r w:rsidRPr="00FC7951">
              <w:rPr>
                <w:rFonts w:ascii="Times New Roman" w:hAnsi="Times New Roman" w:cs="Times New Roman"/>
                <w:color w:val="000000"/>
              </w:rPr>
              <w:t>-0,37</w:t>
            </w:r>
          </w:p>
        </w:tc>
        <w:tc>
          <w:tcPr>
            <w:tcW w:w="2321" w:type="dxa"/>
            <w:shd w:val="clear" w:color="auto" w:fill="auto"/>
          </w:tcPr>
          <w:p w14:paraId="3057820E"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992" w:type="dxa"/>
            <w:shd w:val="clear" w:color="auto" w:fill="auto"/>
            <w:noWrap/>
            <w:vAlign w:val="bottom"/>
          </w:tcPr>
          <w:p w14:paraId="2825146D" w14:textId="77777777" w:rsidR="00B06B6F" w:rsidRPr="00FC7951" w:rsidRDefault="00B06B6F" w:rsidP="00725F19">
            <w:pPr>
              <w:rPr>
                <w:rFonts w:ascii="Times New Roman" w:hAnsi="Times New Roman" w:cs="Times New Roman"/>
                <w:i/>
                <w:color w:val="000000"/>
              </w:rPr>
            </w:pPr>
            <w:r w:rsidRPr="00FC7951">
              <w:rPr>
                <w:rFonts w:ascii="Times New Roman" w:hAnsi="Times New Roman" w:cs="Times New Roman"/>
                <w:i/>
                <w:color w:val="000000"/>
              </w:rPr>
              <w:t> </w:t>
            </w:r>
          </w:p>
        </w:tc>
        <w:tc>
          <w:tcPr>
            <w:tcW w:w="1276" w:type="dxa"/>
            <w:shd w:val="clear" w:color="auto" w:fill="auto"/>
            <w:noWrap/>
            <w:vAlign w:val="bottom"/>
          </w:tcPr>
          <w:p w14:paraId="318D5C0F" w14:textId="77777777" w:rsidR="00B06B6F" w:rsidRPr="00FC7951" w:rsidRDefault="00B06B6F" w:rsidP="00725F19">
            <w:pPr>
              <w:jc w:val="right"/>
              <w:rPr>
                <w:rFonts w:ascii="Times New Roman" w:hAnsi="Times New Roman" w:cs="Times New Roman"/>
                <w:color w:val="000000"/>
              </w:rPr>
            </w:pPr>
            <w:r w:rsidRPr="00FC7951">
              <w:rPr>
                <w:rFonts w:ascii="Times New Roman" w:hAnsi="Times New Roman" w:cs="Times New Roman"/>
                <w:color w:val="000000"/>
              </w:rPr>
              <w:t>-0,37</w:t>
            </w:r>
          </w:p>
        </w:tc>
      </w:tr>
    </w:tbl>
    <w:p w14:paraId="16DCD1ED" w14:textId="77777777" w:rsidR="00B06B6F" w:rsidRPr="00FC7951" w:rsidRDefault="00B06B6F" w:rsidP="00725F19">
      <w:pPr>
        <w:pStyle w:val="ac"/>
        <w:ind w:left="709"/>
        <w:jc w:val="both"/>
        <w:rPr>
          <w:bCs/>
        </w:rPr>
      </w:pPr>
    </w:p>
    <w:p w14:paraId="306E3D87" w14:textId="77777777" w:rsidR="00B06B6F" w:rsidRPr="00FC7951" w:rsidRDefault="00B06B6F" w:rsidP="00725F19">
      <w:pPr>
        <w:pStyle w:val="ac"/>
        <w:numPr>
          <w:ilvl w:val="2"/>
          <w:numId w:val="16"/>
        </w:numPr>
        <w:ind w:left="0" w:firstLine="709"/>
        <w:jc w:val="both"/>
        <w:rPr>
          <w:bCs/>
        </w:rPr>
      </w:pPr>
      <w:r w:rsidRPr="00FC7951">
        <w:t>Раздел 10 Методики применяется с учетом следующего состава стоп и риск-факторов (с учетом применимости в отношении индивидуальных предпринимателей):</w:t>
      </w:r>
    </w:p>
    <w:p w14:paraId="103B2203" w14:textId="77777777" w:rsidR="00B06B6F" w:rsidRPr="00FC7951" w:rsidRDefault="00B06B6F" w:rsidP="00725F19">
      <w:pPr>
        <w:pStyle w:val="ac"/>
        <w:ind w:left="709"/>
        <w:jc w:val="both"/>
        <w:rPr>
          <w:b/>
        </w:rPr>
      </w:pPr>
      <w:r w:rsidRPr="00FC7951">
        <w:rPr>
          <w:b/>
        </w:rPr>
        <w:t>Стоп-фактор:</w:t>
      </w:r>
    </w:p>
    <w:p w14:paraId="479488E2"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отрицательное значение величины чистых активов, рассчитанной в соответствии с </w:t>
      </w:r>
      <w:proofErr w:type="spellStart"/>
      <w:r w:rsidRPr="00FC7951">
        <w:rPr>
          <w:rFonts w:ascii="Times New Roman" w:hAnsi="Times New Roman" w:cs="Times New Roman"/>
        </w:rPr>
        <w:t>пп</w:t>
      </w:r>
      <w:proofErr w:type="spellEnd"/>
      <w:r w:rsidRPr="00FC7951">
        <w:rPr>
          <w:rFonts w:ascii="Times New Roman" w:hAnsi="Times New Roman" w:cs="Times New Roman"/>
        </w:rPr>
        <w:t>. 4.3.1. настоящего Приложения (или значение коэффициента «Финансовая устойчивость индивидуального предпринимателя» менее 1).</w:t>
      </w:r>
    </w:p>
    <w:p w14:paraId="28541DFF"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lastRenderedPageBreak/>
        <w:t>существенное несоответствие масштабов деятельности участника закупочной процедуры сумме закупки (если стоимость предложения, указанная в оферте, в годовом выражении с учетом п. 8.1. более чем в 1,4 раза превышает взвешенную с учетом п. 9.1. годовую выручку участника);</w:t>
      </w:r>
    </w:p>
    <w:p w14:paraId="3E0F7596"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наличие у участника закупочной процедуры задолженности по начисленным налогам, сборам и иным обязательным платежам, размер которой превышает 25 (двадцать пять) процентов стоимости планируемой закупки.</w:t>
      </w:r>
    </w:p>
    <w:p w14:paraId="721ECCF0" w14:textId="77777777" w:rsidR="00B06B6F" w:rsidRPr="00FC7951" w:rsidRDefault="00B06B6F" w:rsidP="00725F19">
      <w:pPr>
        <w:ind w:firstLine="709"/>
        <w:jc w:val="both"/>
        <w:rPr>
          <w:rFonts w:ascii="Times New Roman" w:hAnsi="Times New Roman" w:cs="Times New Roman"/>
          <w:b/>
        </w:rPr>
      </w:pPr>
      <w:r w:rsidRPr="00FC7951">
        <w:rPr>
          <w:rFonts w:ascii="Times New Roman" w:hAnsi="Times New Roman" w:cs="Times New Roman"/>
          <w:b/>
        </w:rPr>
        <w:t>Риск-фактор:</w:t>
      </w:r>
    </w:p>
    <w:p w14:paraId="22A8FE0A"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наличие просроченной задолженности по выписке из БКИ (по аналогии с непокрытым убытком в бухгалтерском балансе на последнюю отчетную дату (в том числе незавершенного финансового года));</w:t>
      </w:r>
    </w:p>
    <w:p w14:paraId="48267A02"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срок существования </w:t>
      </w:r>
      <w:r w:rsidRPr="00FC7951">
        <w:rPr>
          <w:rFonts w:ascii="Times New Roman" w:hAnsi="Times New Roman" w:cs="Times New Roman"/>
          <w:color w:val="000000"/>
        </w:rPr>
        <w:t>участника</w:t>
      </w:r>
      <w:r w:rsidRPr="00FC7951">
        <w:rPr>
          <w:rFonts w:ascii="Times New Roman" w:hAnsi="Times New Roman" w:cs="Times New Roman"/>
        </w:rPr>
        <w:t xml:space="preserve"> менее года;</w:t>
      </w:r>
    </w:p>
    <w:p w14:paraId="0723774C"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сделка является достаточно крупной для участника закупочной процедуры (если стоимость предложения, указанная в оферте, в годовом выражении с учетом п. 8.1. превышает 80% взвешенной с учетом п. 9.1. годовой выручки </w:t>
      </w:r>
      <w:r w:rsidRPr="00FC7951">
        <w:rPr>
          <w:rFonts w:ascii="Times New Roman" w:hAnsi="Times New Roman" w:cs="Times New Roman"/>
          <w:color w:val="000000"/>
        </w:rPr>
        <w:t>участника</w:t>
      </w:r>
      <w:r w:rsidRPr="00FC7951">
        <w:rPr>
          <w:rFonts w:ascii="Times New Roman" w:hAnsi="Times New Roman" w:cs="Times New Roman"/>
        </w:rPr>
        <w:t>);</w:t>
      </w:r>
    </w:p>
    <w:p w14:paraId="76A4468B" w14:textId="77777777" w:rsidR="00B06B6F" w:rsidRPr="00FC7951" w:rsidRDefault="00B06B6F" w:rsidP="00725F19">
      <w:pPr>
        <w:numPr>
          <w:ilvl w:val="0"/>
          <w:numId w:val="1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если договором предусматривается выплата аванса без покрытия независимой гарантией.</w:t>
      </w:r>
      <w:r w:rsidRPr="00FC7951">
        <w:rPr>
          <w:rFonts w:ascii="Times New Roman" w:hAnsi="Times New Roman" w:cs="Times New Roman"/>
          <w:i/>
        </w:rPr>
        <w:t xml:space="preserve"> </w:t>
      </w:r>
    </w:p>
    <w:p w14:paraId="17333B95" w14:textId="77777777" w:rsidR="00B06B6F" w:rsidRPr="00FC7951" w:rsidRDefault="00B06B6F" w:rsidP="00725F19">
      <w:pPr>
        <w:pStyle w:val="ac"/>
        <w:numPr>
          <w:ilvl w:val="2"/>
          <w:numId w:val="16"/>
        </w:numPr>
        <w:ind w:left="0" w:firstLine="709"/>
        <w:jc w:val="both"/>
        <w:rPr>
          <w:bCs/>
        </w:rPr>
      </w:pPr>
      <w:r w:rsidRPr="00FC7951">
        <w:rPr>
          <w:bCs/>
        </w:rPr>
        <w:t>Раздел 11 Методики применяется без ограничений и исключений.</w:t>
      </w:r>
    </w:p>
    <w:p w14:paraId="23818AFD"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Решение о прохождении участника, применяющего УСН (в условиях отсутствия бухгалтерской отчетности) или индивидуального предпринимателя (в условиях отсутствия данных </w:t>
      </w:r>
      <w:r w:rsidRPr="00FC7951">
        <w:rPr>
          <w:rFonts w:ascii="Times New Roman" w:hAnsi="Times New Roman" w:cs="Times New Roman"/>
        </w:rPr>
        <w:t>налоговых деклараций и выписки из БКИ)</w:t>
      </w:r>
      <w:r w:rsidRPr="00FC7951">
        <w:rPr>
          <w:rFonts w:ascii="Times New Roman" w:hAnsi="Times New Roman" w:cs="Times New Roman"/>
          <w:bCs/>
        </w:rPr>
        <w:t>, отборочной стадии может быть принято только при одновременном выполнении следующих критериев:</w:t>
      </w:r>
    </w:p>
    <w:p w14:paraId="3BBDC6CE"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срок существования не менее 3 лет;</w:t>
      </w:r>
    </w:p>
    <w:p w14:paraId="7A809DD5"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вид деятельности участника закупочной процедуры по классификации ОКВЭД совпадает с предметом закупки;</w:t>
      </w:r>
    </w:p>
    <w:p w14:paraId="3333DBC8"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участник имеет необходимые материально-технические и кадровые ресурсы (согласно предоставленным справкам);</w:t>
      </w:r>
    </w:p>
    <w:p w14:paraId="6783549B" w14:textId="77777777" w:rsidR="00B06B6F" w:rsidRPr="00FC7951"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стоимость планируемой закупки без НДС не превышает 120% годового дохода согласно налоговой декларации / 140% годового дохода </w:t>
      </w:r>
      <w:r w:rsidRPr="00FC7951">
        <w:rPr>
          <w:rFonts w:ascii="Times New Roman" w:hAnsi="Times New Roman" w:cs="Times New Roman"/>
        </w:rPr>
        <w:t>для закупок</w:t>
      </w:r>
      <w:r w:rsidRPr="00FC7951">
        <w:rPr>
          <w:rFonts w:ascii="Times New Roman" w:hAnsi="Times New Roman" w:cs="Times New Roman"/>
          <w:bCs/>
        </w:rPr>
        <w:t>, (</w:t>
      </w:r>
      <w:r w:rsidRPr="00FC7951">
        <w:rPr>
          <w:rFonts w:ascii="Times New Roman" w:hAnsi="Times New Roman" w:cs="Times New Roman"/>
        </w:rPr>
        <w:t>в случае если предоставление документа не противоречит действующему Законодательству</w:t>
      </w:r>
      <w:r w:rsidRPr="00FC7951">
        <w:rPr>
          <w:rFonts w:ascii="Times New Roman" w:hAnsi="Times New Roman" w:cs="Times New Roman"/>
          <w:bCs/>
        </w:rPr>
        <w:t>);</w:t>
      </w:r>
    </w:p>
    <w:p w14:paraId="3451AD0E" w14:textId="77777777" w:rsidR="00391929" w:rsidRPr="00391929"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391929">
        <w:rPr>
          <w:rFonts w:ascii="Times New Roman" w:hAnsi="Times New Roman" w:cs="Times New Roman"/>
          <w:bCs/>
        </w:rPr>
        <w:t xml:space="preserve">отсутствует </w:t>
      </w:r>
      <w:r w:rsidRPr="00391929">
        <w:rPr>
          <w:rFonts w:ascii="Times New Roman" w:hAnsi="Times New Roman" w:cs="Times New Roman"/>
        </w:rPr>
        <w:t xml:space="preserve">задолженность по начисленным налогам, сборам и иным обязательным платежам / присутствует подписанная участником на ЭТП декларации об отсутствии задолженности в размере более </w:t>
      </w:r>
      <w:r w:rsidR="00391929">
        <w:rPr>
          <w:rFonts w:ascii="Times New Roman" w:hAnsi="Times New Roman" w:cs="Times New Roman"/>
        </w:rPr>
        <w:t>25% валюты баланса для закупок</w:t>
      </w:r>
    </w:p>
    <w:p w14:paraId="3C68B765" w14:textId="77777777" w:rsidR="00B06B6F" w:rsidRPr="00391929" w:rsidRDefault="00B06B6F" w:rsidP="00725F19">
      <w:pPr>
        <w:numPr>
          <w:ilvl w:val="0"/>
          <w:numId w:val="21"/>
        </w:numPr>
        <w:tabs>
          <w:tab w:val="left" w:pos="1134"/>
        </w:tabs>
        <w:spacing w:after="0" w:line="240" w:lineRule="auto"/>
        <w:ind w:left="0" w:firstLine="709"/>
        <w:jc w:val="both"/>
        <w:rPr>
          <w:rFonts w:ascii="Times New Roman" w:hAnsi="Times New Roman" w:cs="Times New Roman"/>
          <w:bCs/>
        </w:rPr>
      </w:pPr>
      <w:r w:rsidRPr="00391929">
        <w:rPr>
          <w:rFonts w:ascii="Times New Roman" w:hAnsi="Times New Roman" w:cs="Times New Roman"/>
          <w:bCs/>
        </w:rPr>
        <w:t xml:space="preserve">финансовые условия сделки не предусматривают выплату аванса, не покрытого </w:t>
      </w:r>
      <w:r w:rsidRPr="00391929">
        <w:rPr>
          <w:rFonts w:ascii="Times New Roman" w:hAnsi="Times New Roman" w:cs="Times New Roman"/>
        </w:rPr>
        <w:t>независимой</w:t>
      </w:r>
      <w:r w:rsidRPr="00391929">
        <w:rPr>
          <w:rFonts w:ascii="Times New Roman" w:hAnsi="Times New Roman" w:cs="Times New Roman"/>
          <w:bCs/>
        </w:rPr>
        <w:t xml:space="preserve"> гарантией.</w:t>
      </w:r>
    </w:p>
    <w:p w14:paraId="18507835"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bCs/>
        </w:rPr>
        <w:t xml:space="preserve">За исключением случаев, описанных ниже в п. 4.6. </w:t>
      </w:r>
      <w:r w:rsidRPr="00FC7951">
        <w:rPr>
          <w:rFonts w:ascii="Times New Roman" w:hAnsi="Times New Roman" w:cs="Times New Roman"/>
        </w:rPr>
        <w:t>настоящего Приложения</w:t>
      </w:r>
      <w:r w:rsidRPr="00FC7951">
        <w:rPr>
          <w:rFonts w:ascii="Times New Roman" w:hAnsi="Times New Roman" w:cs="Times New Roman"/>
          <w:bCs/>
        </w:rPr>
        <w:t xml:space="preserve"> несоответствие хотя бы по одному из перечисленных выше критериев должно являться основанием для отклонения предложения участника закупочной процедуры, применяющего УСН (в условиях отсутствия бухгалтерской отчетности) или индивидуального предпринимателя, на отборочной стадии.</w:t>
      </w:r>
    </w:p>
    <w:p w14:paraId="62204CEA"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 xml:space="preserve">С целью расширения доступа участников, применяющих упрощенную систему налогообложения (УСН) и индивидуальных предпринимателей к участию в закупочных процедурах, организованных Обществом, в случаях, когда не выполнен только критерий соответствия масштабов деятельности участника стоимости планируемой закупки или его расчет невозможен в связи с ограничениями действующего Законодательства по предоставлению участниками документов, и при этом все остальные критерии выполнены, включая отсутствие аванса без покрытия независимой гарантией, разрешается для ограниченного перечня закупочных процедур </w:t>
      </w:r>
      <w:proofErr w:type="spellStart"/>
      <w:r w:rsidRPr="00FC7951">
        <w:rPr>
          <w:rFonts w:ascii="Times New Roman" w:hAnsi="Times New Roman" w:cs="Times New Roman"/>
        </w:rPr>
        <w:t>экспертно</w:t>
      </w:r>
      <w:proofErr w:type="spellEnd"/>
      <w:r w:rsidRPr="00FC7951">
        <w:rPr>
          <w:rFonts w:ascii="Times New Roman" w:hAnsi="Times New Roman" w:cs="Times New Roman"/>
        </w:rPr>
        <w:t xml:space="preserve"> допускать участников до оценочной стадии. Итоговая оценка при этом не должна превышать 1 по пятибалльной шкале (минимально допустимый уровень). Перечень закупочных процедур, для которых применимы положения настоящего пункта ограничивается </w:t>
      </w:r>
      <w:r w:rsidRPr="00FC7951">
        <w:rPr>
          <w:rFonts w:ascii="Times New Roman" w:hAnsi="Times New Roman" w:cs="Times New Roman"/>
        </w:rPr>
        <w:lastRenderedPageBreak/>
        <w:t>закупочными процедурами по перечисленным ниже статьям расходов Общества, плановая стоимость закупки по которым не превышает 30 млн. рублей без НДС:</w:t>
      </w:r>
    </w:p>
    <w:p w14:paraId="0C3387AD"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административно-хозяйственные расходы (поставки и услуги);</w:t>
      </w:r>
    </w:p>
    <w:p w14:paraId="2FE8A315"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охрана (услуги);</w:t>
      </w:r>
    </w:p>
    <w:p w14:paraId="0AC52F0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консультационные и информационные расходы (поставки и услуги);</w:t>
      </w:r>
    </w:p>
    <w:p w14:paraId="49AAD812"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аудит и оценка (поставки и услуги);</w:t>
      </w:r>
    </w:p>
    <w:p w14:paraId="3A2FF5EB"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юридические услуги (поставки и услуги);</w:t>
      </w:r>
    </w:p>
    <w:p w14:paraId="5CFA07DE"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корпоративное управление (поставки и услуги);</w:t>
      </w:r>
    </w:p>
    <w:p w14:paraId="7F0CC522"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расходы на персонал (поставки и услуги);</w:t>
      </w:r>
    </w:p>
    <w:p w14:paraId="27F3A25D" w14:textId="77777777" w:rsidR="00B06B6F" w:rsidRPr="00FC7951" w:rsidRDefault="00B06B6F" w:rsidP="00725F19">
      <w:pPr>
        <w:numPr>
          <w:ilvl w:val="3"/>
          <w:numId w:val="23"/>
        </w:numPr>
        <w:tabs>
          <w:tab w:val="left" w:pos="1134"/>
        </w:tabs>
        <w:spacing w:after="0" w:line="240" w:lineRule="auto"/>
        <w:ind w:left="0" w:firstLine="709"/>
        <w:jc w:val="both"/>
        <w:rPr>
          <w:rFonts w:ascii="Times New Roman" w:hAnsi="Times New Roman" w:cs="Times New Roman"/>
        </w:rPr>
      </w:pPr>
      <w:r w:rsidRPr="00FC7951">
        <w:rPr>
          <w:rFonts w:ascii="Times New Roman" w:hAnsi="Times New Roman" w:cs="Times New Roman"/>
        </w:rPr>
        <w:t>реклама и маркетинг (поставки и услуги).</w:t>
      </w:r>
    </w:p>
    <w:p w14:paraId="48A88ABF" w14:textId="77777777" w:rsidR="00B06B6F" w:rsidRPr="00FC7951" w:rsidRDefault="00B06B6F" w:rsidP="00725F19">
      <w:pPr>
        <w:numPr>
          <w:ilvl w:val="1"/>
          <w:numId w:val="16"/>
        </w:numPr>
        <w:tabs>
          <w:tab w:val="left" w:pos="1134"/>
        </w:tabs>
        <w:spacing w:after="0" w:line="240" w:lineRule="auto"/>
        <w:ind w:left="0" w:firstLine="709"/>
        <w:jc w:val="both"/>
        <w:rPr>
          <w:rFonts w:ascii="Times New Roman" w:hAnsi="Times New Roman" w:cs="Times New Roman"/>
          <w:bCs/>
        </w:rPr>
      </w:pPr>
      <w:r w:rsidRPr="00FC7951">
        <w:rPr>
          <w:rFonts w:ascii="Times New Roman" w:hAnsi="Times New Roman" w:cs="Times New Roman"/>
          <w:bCs/>
        </w:rPr>
        <w:t xml:space="preserve">При отсутствии данных бухгалтерской отчетности </w:t>
      </w:r>
      <w:r w:rsidRPr="00FC7951">
        <w:rPr>
          <w:rFonts w:ascii="Times New Roman" w:hAnsi="Times New Roman" w:cs="Times New Roman"/>
        </w:rPr>
        <w:t xml:space="preserve">(в случае если предоставление документа не противоречит действующему Законодательству) </w:t>
      </w:r>
      <w:r w:rsidRPr="00FC7951">
        <w:rPr>
          <w:rFonts w:ascii="Times New Roman" w:hAnsi="Times New Roman" w:cs="Times New Roman"/>
          <w:bCs/>
        </w:rPr>
        <w:t xml:space="preserve">в рамках проведения финансово-экономической экспертизы на оценочной стадии, участнику, применяющему УСН, или индивидуальному предпринимателю (при отсутствии любого из следующих документов: </w:t>
      </w:r>
      <w:r w:rsidRPr="00FC7951">
        <w:rPr>
          <w:rFonts w:ascii="Times New Roman" w:hAnsi="Times New Roman" w:cs="Times New Roman"/>
        </w:rPr>
        <w:t>налоговых деклараций, выписки из БКИ</w:t>
      </w:r>
      <w:r w:rsidRPr="00FC7951">
        <w:rPr>
          <w:rFonts w:ascii="Times New Roman" w:hAnsi="Times New Roman" w:cs="Times New Roman"/>
          <w:bCs/>
        </w:rPr>
        <w:t>) не может быть присвоена оценка выше 1 (минимально допустимый уровень).</w:t>
      </w:r>
    </w:p>
    <w:p w14:paraId="04DFADBD" w14:textId="77777777" w:rsidR="00B06B6F" w:rsidRPr="00FC7951" w:rsidRDefault="00B06B6F" w:rsidP="00725F19">
      <w:pPr>
        <w:spacing w:after="200" w:line="276" w:lineRule="auto"/>
        <w:rPr>
          <w:rFonts w:ascii="Times New Roman" w:hAnsi="Times New Roman" w:cs="Times New Roman"/>
          <w:bCs/>
        </w:rPr>
      </w:pPr>
      <w:r w:rsidRPr="00FC7951">
        <w:rPr>
          <w:rFonts w:ascii="Times New Roman" w:hAnsi="Times New Roman" w:cs="Times New Roman"/>
          <w:bCs/>
        </w:rPr>
        <w:br w:type="page"/>
      </w:r>
    </w:p>
    <w:p w14:paraId="1418D1CD" w14:textId="77777777" w:rsidR="00B06B6F" w:rsidRPr="00FC7951" w:rsidRDefault="00B06B6F" w:rsidP="007A07DF">
      <w:pPr>
        <w:spacing w:after="0"/>
        <w:jc w:val="right"/>
        <w:rPr>
          <w:rStyle w:val="af2"/>
          <w:rFonts w:ascii="Times New Roman" w:hAnsi="Times New Roman" w:cs="Times New Roman"/>
          <w:bCs/>
          <w:i w:val="0"/>
          <w:iCs w:val="0"/>
        </w:rPr>
      </w:pPr>
      <w:bookmarkStart w:id="48" w:name="_Toc69741728"/>
      <w:bookmarkStart w:id="49" w:name="_Toc69744033"/>
      <w:bookmarkStart w:id="50" w:name="_Toc69741729"/>
      <w:bookmarkStart w:id="51" w:name="_Toc69744034"/>
      <w:bookmarkStart w:id="52" w:name="_Toc69741730"/>
      <w:bookmarkStart w:id="53" w:name="_Toc69744035"/>
      <w:bookmarkStart w:id="54" w:name="_Toc322961191"/>
      <w:bookmarkStart w:id="55" w:name="_Toc326066026"/>
      <w:bookmarkStart w:id="56" w:name="_Toc326066296"/>
      <w:bookmarkEnd w:id="48"/>
      <w:bookmarkEnd w:id="49"/>
      <w:bookmarkEnd w:id="50"/>
      <w:bookmarkEnd w:id="51"/>
      <w:bookmarkEnd w:id="52"/>
      <w:bookmarkEnd w:id="53"/>
      <w:r w:rsidRPr="00FC7951">
        <w:rPr>
          <w:rStyle w:val="af2"/>
          <w:rFonts w:ascii="Times New Roman" w:hAnsi="Times New Roman" w:cs="Times New Roman"/>
          <w:bCs/>
          <w:i w:val="0"/>
          <w:iCs w:val="0"/>
        </w:rPr>
        <w:lastRenderedPageBreak/>
        <w:t xml:space="preserve">Приложение 3 </w:t>
      </w:r>
    </w:p>
    <w:p w14:paraId="17356A69" w14:textId="77777777" w:rsidR="00B06B6F" w:rsidRPr="00FC7951" w:rsidRDefault="00B06B6F" w:rsidP="007A07DF">
      <w:pPr>
        <w:spacing w:after="0"/>
        <w:jc w:val="right"/>
        <w:rPr>
          <w:rFonts w:ascii="Times New Roman" w:hAnsi="Times New Roman" w:cs="Times New Roman"/>
          <w:bCs/>
        </w:rPr>
      </w:pPr>
      <w:r w:rsidRPr="00FC7951">
        <w:rPr>
          <w:rStyle w:val="af2"/>
          <w:rFonts w:ascii="Times New Roman" w:hAnsi="Times New Roman" w:cs="Times New Roman"/>
          <w:bCs/>
          <w:i w:val="0"/>
          <w:iCs w:val="0"/>
        </w:rPr>
        <w:t>к Методике МТ-065-4</w:t>
      </w:r>
    </w:p>
    <w:p w14:paraId="773FF5D0" w14:textId="77777777" w:rsidR="00B06B6F" w:rsidRPr="00FC7951" w:rsidRDefault="00B06B6F" w:rsidP="00725F19">
      <w:pPr>
        <w:jc w:val="both"/>
        <w:rPr>
          <w:rFonts w:ascii="Times New Roman" w:hAnsi="Times New Roman" w:cs="Times New Roman"/>
        </w:rPr>
      </w:pPr>
      <w:bookmarkStart w:id="57" w:name="_Toc322961199"/>
      <w:bookmarkStart w:id="58" w:name="_Toc326066034"/>
      <w:bookmarkStart w:id="59" w:name="_Toc326066304"/>
      <w:bookmarkStart w:id="60" w:name="_Toc326067326"/>
      <w:bookmarkStart w:id="61" w:name="_Toc516132536"/>
      <w:bookmarkStart w:id="62" w:name="_Toc107247786"/>
      <w:bookmarkEnd w:id="54"/>
      <w:bookmarkEnd w:id="55"/>
      <w:bookmarkEnd w:id="56"/>
      <w:r w:rsidRPr="00FC7951">
        <w:rPr>
          <w:rStyle w:val="10"/>
          <w:rFonts w:eastAsiaTheme="minorHAnsi"/>
        </w:rPr>
        <w:t>Приложение 3 Ф</w:t>
      </w:r>
      <w:bookmarkEnd w:id="57"/>
      <w:r w:rsidRPr="00FC7951">
        <w:rPr>
          <w:rStyle w:val="10"/>
          <w:rFonts w:eastAsiaTheme="minorHAnsi"/>
        </w:rPr>
        <w:t>ормат заключения</w:t>
      </w:r>
      <w:bookmarkEnd w:id="58"/>
      <w:bookmarkEnd w:id="59"/>
      <w:bookmarkEnd w:id="60"/>
      <w:r w:rsidRPr="00FC7951">
        <w:rPr>
          <w:rStyle w:val="10"/>
          <w:rFonts w:eastAsiaTheme="minorHAnsi"/>
        </w:rPr>
        <w:t xml:space="preserve"> по направлению финансово-экономической экспертизы с использованием шаблона «</w:t>
      </w:r>
      <w:proofErr w:type="spellStart"/>
      <w:r w:rsidRPr="00FC7951">
        <w:rPr>
          <w:rStyle w:val="10"/>
          <w:rFonts w:eastAsiaTheme="minorHAnsi"/>
        </w:rPr>
        <w:t>Финэкспертиза</w:t>
      </w:r>
      <w:proofErr w:type="spellEnd"/>
      <w:r w:rsidRPr="00FC7951">
        <w:rPr>
          <w:rStyle w:val="10"/>
          <w:rFonts w:eastAsiaTheme="minorHAnsi"/>
        </w:rPr>
        <w:t>.</w:t>
      </w:r>
      <w:proofErr w:type="spellStart"/>
      <w:r w:rsidRPr="00FC7951">
        <w:rPr>
          <w:rStyle w:val="10"/>
          <w:rFonts w:eastAsiaTheme="minorHAnsi"/>
          <w:lang w:val="en-US"/>
        </w:rPr>
        <w:t>xls</w:t>
      </w:r>
      <w:proofErr w:type="spellEnd"/>
      <w:r w:rsidRPr="00FC7951">
        <w:rPr>
          <w:rStyle w:val="10"/>
          <w:rFonts w:eastAsiaTheme="minorHAnsi"/>
        </w:rPr>
        <w:t>»</w:t>
      </w:r>
      <w:bookmarkEnd w:id="61"/>
      <w:bookmarkEnd w:id="62"/>
      <w:r w:rsidRPr="00FC7951">
        <w:rPr>
          <w:rStyle w:val="af2"/>
          <w:rFonts w:ascii="Times New Roman" w:hAnsi="Times New Roman" w:cs="Times New Roman"/>
          <w:i w:val="0"/>
          <w:iCs w:val="0"/>
        </w:rPr>
        <w:t xml:space="preserve"> </w:t>
      </w:r>
    </w:p>
    <w:p w14:paraId="6BC62B30" w14:textId="77777777" w:rsidR="00B06B6F" w:rsidRPr="00FC7951" w:rsidRDefault="00B06B6F" w:rsidP="00725F19">
      <w:pPr>
        <w:rPr>
          <w:rStyle w:val="af2"/>
          <w:rFonts w:ascii="Times New Roman" w:hAnsi="Times New Roman" w:cs="Times New Roman"/>
        </w:rPr>
      </w:pPr>
      <w:bookmarkStart w:id="63" w:name="_Toc106268975"/>
      <w:bookmarkStart w:id="64" w:name="_Toc106269069"/>
      <w:bookmarkStart w:id="65" w:name="_Toc107247787"/>
      <w:r w:rsidRPr="00FC7951">
        <w:rPr>
          <w:rStyle w:val="10"/>
          <w:rFonts w:eastAsiaTheme="minorHAnsi"/>
          <w:b w:val="0"/>
          <w:noProof/>
        </w:rPr>
        <w:drawing>
          <wp:inline distT="0" distB="0" distL="0" distR="0" wp14:anchorId="36394FC5" wp14:editId="4FB61A59">
            <wp:extent cx="5976857" cy="7632175"/>
            <wp:effectExtent l="0" t="0" r="508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90438" cy="7649517"/>
                    </a:xfrm>
                    <a:prstGeom prst="rect">
                      <a:avLst/>
                    </a:prstGeom>
                    <a:noFill/>
                    <a:ln>
                      <a:noFill/>
                    </a:ln>
                  </pic:spPr>
                </pic:pic>
              </a:graphicData>
            </a:graphic>
          </wp:inline>
        </w:drawing>
      </w:r>
      <w:bookmarkEnd w:id="63"/>
      <w:bookmarkEnd w:id="64"/>
      <w:bookmarkEnd w:id="65"/>
    </w:p>
    <w:p w14:paraId="2C73CFBE" w14:textId="77777777" w:rsidR="00B06B6F" w:rsidRPr="00FC7951" w:rsidRDefault="00B06B6F" w:rsidP="00725F19">
      <w:pPr>
        <w:tabs>
          <w:tab w:val="left" w:pos="8789"/>
        </w:tabs>
        <w:rPr>
          <w:rStyle w:val="af2"/>
          <w:rFonts w:ascii="Times New Roman" w:hAnsi="Times New Roman" w:cs="Times New Roman"/>
        </w:rPr>
      </w:pPr>
      <w:r w:rsidRPr="00FC7951">
        <w:rPr>
          <w:rStyle w:val="af2"/>
          <w:rFonts w:ascii="Times New Roman" w:hAnsi="Times New Roman" w:cs="Times New Roman"/>
          <w:noProof/>
          <w:lang w:eastAsia="ru-RU"/>
        </w:rPr>
        <w:lastRenderedPageBreak/>
        <w:drawing>
          <wp:inline distT="0" distB="0" distL="0" distR="0" wp14:anchorId="181DA3BF" wp14:editId="441FA0F1">
            <wp:extent cx="5939625" cy="6233566"/>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5335" cy="6250054"/>
                    </a:xfrm>
                    <a:prstGeom prst="rect">
                      <a:avLst/>
                    </a:prstGeom>
                    <a:noFill/>
                    <a:ln>
                      <a:noFill/>
                    </a:ln>
                  </pic:spPr>
                </pic:pic>
              </a:graphicData>
            </a:graphic>
          </wp:inline>
        </w:drawing>
      </w:r>
      <w:r w:rsidRPr="00FC7951" w:rsidDel="00C52066">
        <w:rPr>
          <w:rStyle w:val="af2"/>
          <w:rFonts w:ascii="Times New Roman" w:hAnsi="Times New Roman" w:cs="Times New Roman"/>
        </w:rPr>
        <w:t xml:space="preserve"> </w:t>
      </w:r>
    </w:p>
    <w:p w14:paraId="71F576E0" w14:textId="77777777" w:rsidR="00B06B6F" w:rsidRPr="00FC7951" w:rsidRDefault="00B06B6F" w:rsidP="00725F19">
      <w:pPr>
        <w:rPr>
          <w:rStyle w:val="af2"/>
          <w:rFonts w:ascii="Times New Roman" w:hAnsi="Times New Roman" w:cs="Times New Roman"/>
        </w:rPr>
      </w:pPr>
    </w:p>
    <w:p w14:paraId="70DE5AD2" w14:textId="77777777" w:rsidR="00B06B6F" w:rsidRPr="00FC7951" w:rsidRDefault="00B06B6F" w:rsidP="00725F19">
      <w:pPr>
        <w:rPr>
          <w:rStyle w:val="af2"/>
          <w:rFonts w:ascii="Times New Roman" w:hAnsi="Times New Roman" w:cs="Times New Roman"/>
        </w:rPr>
      </w:pPr>
    </w:p>
    <w:p w14:paraId="1D4F166A" w14:textId="77777777" w:rsidR="00B06B6F" w:rsidRPr="00FC7951" w:rsidRDefault="00B06B6F" w:rsidP="00725F19">
      <w:pPr>
        <w:spacing w:after="200" w:line="276" w:lineRule="auto"/>
        <w:rPr>
          <w:rStyle w:val="af2"/>
          <w:rFonts w:ascii="Times New Roman" w:hAnsi="Times New Roman" w:cs="Times New Roman"/>
        </w:rPr>
      </w:pPr>
      <w:r w:rsidRPr="00FC7951">
        <w:rPr>
          <w:rStyle w:val="af2"/>
          <w:rFonts w:ascii="Times New Roman" w:hAnsi="Times New Roman" w:cs="Times New Roman"/>
        </w:rPr>
        <w:br w:type="page"/>
      </w:r>
    </w:p>
    <w:p w14:paraId="7E1B982D" w14:textId="77777777" w:rsidR="00B06B6F" w:rsidRPr="00FC7951" w:rsidRDefault="00B06B6F" w:rsidP="00725F19">
      <w:pPr>
        <w:jc w:val="right"/>
        <w:rPr>
          <w:rStyle w:val="af2"/>
          <w:rFonts w:ascii="Times New Roman" w:hAnsi="Times New Roman" w:cs="Times New Roman"/>
          <w:bCs/>
          <w:i w:val="0"/>
          <w:iCs w:val="0"/>
        </w:rPr>
      </w:pPr>
      <w:bookmarkStart w:id="66" w:name="_Toc107247788"/>
      <w:r w:rsidRPr="00FC7951">
        <w:rPr>
          <w:rStyle w:val="af2"/>
          <w:rFonts w:ascii="Times New Roman" w:hAnsi="Times New Roman" w:cs="Times New Roman"/>
          <w:bCs/>
          <w:i w:val="0"/>
          <w:iCs w:val="0"/>
        </w:rPr>
        <w:lastRenderedPageBreak/>
        <w:t xml:space="preserve">Приложение 4 </w:t>
      </w:r>
    </w:p>
    <w:p w14:paraId="03A9F4FB" w14:textId="77777777" w:rsidR="00B06B6F" w:rsidRPr="00FC7951" w:rsidRDefault="00B06B6F" w:rsidP="00725F19">
      <w:pPr>
        <w:jc w:val="right"/>
        <w:rPr>
          <w:rStyle w:val="10"/>
          <w:rFonts w:eastAsiaTheme="minorHAnsi"/>
          <w:bCs/>
        </w:rPr>
      </w:pPr>
      <w:r w:rsidRPr="00FC7951">
        <w:rPr>
          <w:rStyle w:val="af2"/>
          <w:rFonts w:ascii="Times New Roman" w:hAnsi="Times New Roman" w:cs="Times New Roman"/>
          <w:bCs/>
          <w:i w:val="0"/>
          <w:iCs w:val="0"/>
        </w:rPr>
        <w:t>к Методике МТ-065-4</w:t>
      </w:r>
    </w:p>
    <w:p w14:paraId="2A27F3C3" w14:textId="77777777" w:rsidR="00B06B6F" w:rsidRPr="00FC7951" w:rsidRDefault="00B06B6F" w:rsidP="00725F19">
      <w:pPr>
        <w:pStyle w:val="1"/>
        <w:numPr>
          <w:ilvl w:val="0"/>
          <w:numId w:val="0"/>
        </w:numPr>
        <w:rPr>
          <w:rStyle w:val="10"/>
          <w:b/>
        </w:rPr>
      </w:pPr>
      <w:r w:rsidRPr="00FC7951">
        <w:rPr>
          <w:rStyle w:val="10"/>
          <w:bCs/>
        </w:rPr>
        <w:t xml:space="preserve">Приложение 4 </w:t>
      </w:r>
      <w:r w:rsidRPr="00FC7951">
        <w:rPr>
          <w:rStyle w:val="10"/>
        </w:rPr>
        <w:t>Примерный формат выписок из ЕГРН (об основных характеристиках и зарегистрированных правах на объект недвижимости, об объекте недвижимости) и выписки из БКИ</w:t>
      </w:r>
      <w:bookmarkEnd w:id="66"/>
      <w:r w:rsidRPr="00FC7951">
        <w:rPr>
          <w:rStyle w:val="10"/>
        </w:rPr>
        <w:t xml:space="preserve"> </w:t>
      </w:r>
    </w:p>
    <w:p w14:paraId="59BF4A9E" w14:textId="77777777" w:rsidR="00B06B6F" w:rsidRPr="00FC7951" w:rsidRDefault="00B06B6F" w:rsidP="00725F19">
      <w:pPr>
        <w:jc w:val="both"/>
        <w:rPr>
          <w:rFonts w:ascii="Times New Roman" w:hAnsi="Times New Roman" w:cs="Times New Roman"/>
          <w:b/>
        </w:rPr>
      </w:pPr>
    </w:p>
    <w:p w14:paraId="1A9E73E1" w14:textId="77777777" w:rsidR="00B06B6F" w:rsidRPr="00FC7951" w:rsidRDefault="00B06B6F" w:rsidP="00725F19">
      <w:pPr>
        <w:ind w:firstLine="709"/>
        <w:jc w:val="both"/>
        <w:rPr>
          <w:rFonts w:ascii="Times New Roman" w:eastAsia="Calibri" w:hAnsi="Times New Roman" w:cs="Times New Roman"/>
        </w:rPr>
      </w:pPr>
      <w:r w:rsidRPr="00FC7951">
        <w:rPr>
          <w:rFonts w:ascii="Times New Roman" w:eastAsia="Calibri" w:hAnsi="Times New Roman" w:cs="Times New Roman"/>
        </w:rPr>
        <w:t>Красными рамками на примерах ниже выделены используемые при оценке данные.</w:t>
      </w:r>
    </w:p>
    <w:p w14:paraId="4BD04878" w14:textId="77777777" w:rsidR="00B06B6F" w:rsidRPr="00FC7951" w:rsidRDefault="00B06B6F" w:rsidP="00725F19">
      <w:pPr>
        <w:ind w:firstLine="709"/>
        <w:jc w:val="both"/>
        <w:rPr>
          <w:rFonts w:ascii="Times New Roman" w:hAnsi="Times New Roman" w:cs="Times New Roman"/>
        </w:rPr>
      </w:pPr>
      <w:r w:rsidRPr="00FC7951">
        <w:rPr>
          <w:rFonts w:ascii="Times New Roman" w:eastAsia="Calibri" w:hAnsi="Times New Roman" w:cs="Times New Roman"/>
        </w:rPr>
        <w:t>Синими рамками на примерах ниже выделены проверяемые при использовании документов данные.</w:t>
      </w:r>
    </w:p>
    <w:p w14:paraId="1078F33F" w14:textId="77777777" w:rsidR="00B06B6F" w:rsidRPr="00FC7951" w:rsidRDefault="00B06B6F" w:rsidP="00725F19">
      <w:pPr>
        <w:jc w:val="both"/>
        <w:rPr>
          <w:rFonts w:ascii="Times New Roman" w:hAnsi="Times New Roman" w:cs="Times New Roman"/>
        </w:rPr>
      </w:pPr>
    </w:p>
    <w:p w14:paraId="0B186E97" w14:textId="77777777" w:rsidR="00B06B6F" w:rsidRPr="00FC7951" w:rsidRDefault="00B06B6F" w:rsidP="00725F19">
      <w:pPr>
        <w:ind w:firstLine="709"/>
        <w:jc w:val="both"/>
        <w:rPr>
          <w:rFonts w:ascii="Times New Roman" w:hAnsi="Times New Roman" w:cs="Times New Roman"/>
          <w:b/>
          <w:bCs/>
        </w:rPr>
      </w:pPr>
      <w:r w:rsidRPr="00FC7951">
        <w:rPr>
          <w:rFonts w:ascii="Times New Roman" w:hAnsi="Times New Roman" w:cs="Times New Roman"/>
          <w:b/>
          <w:bCs/>
        </w:rPr>
        <w:t>Выписка из БКИ:</w:t>
      </w:r>
    </w:p>
    <w:p w14:paraId="43573AE5" w14:textId="77777777" w:rsidR="00B06B6F" w:rsidRPr="00FC7951" w:rsidRDefault="00B06B6F" w:rsidP="00725F19">
      <w:pPr>
        <w:ind w:firstLine="709"/>
        <w:jc w:val="both"/>
        <w:rPr>
          <w:rFonts w:ascii="Times New Roman" w:hAnsi="Times New Roman" w:cs="Times New Roman"/>
          <w:b/>
          <w:bCs/>
        </w:rPr>
      </w:pPr>
    </w:p>
    <w:p w14:paraId="047B4B32" w14:textId="77777777" w:rsidR="00B06B6F" w:rsidRPr="00FC7951" w:rsidRDefault="00B06B6F" w:rsidP="00725F19">
      <w:pPr>
        <w:ind w:hanging="426"/>
        <w:jc w:val="both"/>
        <w:rPr>
          <w:rFonts w:ascii="Times New Roman" w:hAnsi="Times New Roman" w:cs="Times New Roman"/>
          <w:b/>
          <w:bCs/>
        </w:rPr>
      </w:pPr>
      <w:r w:rsidRPr="00FC7951">
        <w:rPr>
          <w:rFonts w:ascii="Times New Roman" w:hAnsi="Times New Roman" w:cs="Times New Roman"/>
          <w:i/>
          <w:iCs/>
          <w:noProof/>
          <w:lang w:eastAsia="ru-RU"/>
        </w:rPr>
        <mc:AlternateContent>
          <mc:Choice Requires="wps">
            <w:drawing>
              <wp:anchor distT="0" distB="0" distL="114300" distR="114300" simplePos="0" relativeHeight="251663360" behindDoc="0" locked="0" layoutInCell="1" allowOverlap="1" wp14:anchorId="0C6E0D21" wp14:editId="74FA5AB7">
                <wp:simplePos x="0" y="0"/>
                <wp:positionH relativeFrom="column">
                  <wp:posOffset>4850765</wp:posOffset>
                </wp:positionH>
                <wp:positionV relativeFrom="paragraph">
                  <wp:posOffset>405765</wp:posOffset>
                </wp:positionV>
                <wp:extent cx="1100666" cy="211667"/>
                <wp:effectExtent l="0" t="0" r="23495" b="17145"/>
                <wp:wrapNone/>
                <wp:docPr id="20" name="Прямоугольник 20"/>
                <wp:cNvGraphicFramePr/>
                <a:graphic xmlns:a="http://schemas.openxmlformats.org/drawingml/2006/main">
                  <a:graphicData uri="http://schemas.microsoft.com/office/word/2010/wordprocessingShape">
                    <wps:wsp>
                      <wps:cNvSpPr/>
                      <wps:spPr>
                        <a:xfrm>
                          <a:off x="0" y="0"/>
                          <a:ext cx="1100666" cy="211667"/>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E4E9E4" id="Прямоугольник 20" o:spid="_x0000_s1026" style="position:absolute;margin-left:381.95pt;margin-top:31.95pt;width:86.65pt;height:16.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1312" behindDoc="0" locked="0" layoutInCell="1" allowOverlap="1" wp14:anchorId="4377135E" wp14:editId="4A2EE4C6">
                <wp:simplePos x="0" y="0"/>
                <wp:positionH relativeFrom="column">
                  <wp:posOffset>549910</wp:posOffset>
                </wp:positionH>
                <wp:positionV relativeFrom="paragraph">
                  <wp:posOffset>839470</wp:posOffset>
                </wp:positionV>
                <wp:extent cx="1100666" cy="177800"/>
                <wp:effectExtent l="0" t="0" r="23495" b="12700"/>
                <wp:wrapNone/>
                <wp:docPr id="18" name="Прямоугольник 18"/>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DADA9" id="Прямоугольник 18" o:spid="_x0000_s1026" style="position:absolute;margin-left:43.3pt;margin-top:66.1pt;width:86.65pt;height:1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2336" behindDoc="0" locked="0" layoutInCell="1" allowOverlap="1" wp14:anchorId="040B61CA" wp14:editId="43B33E67">
                <wp:simplePos x="0" y="0"/>
                <wp:positionH relativeFrom="column">
                  <wp:posOffset>3868420</wp:posOffset>
                </wp:positionH>
                <wp:positionV relativeFrom="paragraph">
                  <wp:posOffset>1477010</wp:posOffset>
                </wp:positionV>
                <wp:extent cx="1083734" cy="508000"/>
                <wp:effectExtent l="0" t="0" r="21590" b="25400"/>
                <wp:wrapNone/>
                <wp:docPr id="19" name="Прямоугольник 19"/>
                <wp:cNvGraphicFramePr/>
                <a:graphic xmlns:a="http://schemas.openxmlformats.org/drawingml/2006/main">
                  <a:graphicData uri="http://schemas.microsoft.com/office/word/2010/wordprocessingShape">
                    <wps:wsp>
                      <wps:cNvSpPr/>
                      <wps:spPr>
                        <a:xfrm>
                          <a:off x="0" y="0"/>
                          <a:ext cx="1083734" cy="5080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E4711" id="Прямоугольник 19" o:spid="_x0000_s1026" style="position:absolute;margin-left:304.6pt;margin-top:116.3pt;width:85.35pt;height:4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" filled="f" strokecolor="red" strokeweight="1pt"/>
            </w:pict>
          </mc:Fallback>
        </mc:AlternateContent>
      </w:r>
      <w:r w:rsidRPr="00FC7951">
        <w:rPr>
          <w:rFonts w:ascii="Times New Roman" w:hAnsi="Times New Roman" w:cs="Times New Roman"/>
          <w:b/>
          <w:bCs/>
          <w:noProof/>
          <w:lang w:eastAsia="ru-RU"/>
        </w:rPr>
        <w:drawing>
          <wp:inline distT="0" distB="0" distL="0" distR="0" wp14:anchorId="4E6DBBDA" wp14:editId="62CC6A24">
            <wp:extent cx="6401656" cy="308614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20323" cy="3095139"/>
                    </a:xfrm>
                    <a:prstGeom prst="rect">
                      <a:avLst/>
                    </a:prstGeom>
                  </pic:spPr>
                </pic:pic>
              </a:graphicData>
            </a:graphic>
          </wp:inline>
        </w:drawing>
      </w:r>
    </w:p>
    <w:p w14:paraId="09007524" w14:textId="77777777" w:rsidR="00B06B6F" w:rsidRPr="00FC7951" w:rsidRDefault="00B06B6F" w:rsidP="00725F19">
      <w:pPr>
        <w:ind w:firstLine="709"/>
        <w:jc w:val="both"/>
        <w:rPr>
          <w:rFonts w:ascii="Times New Roman" w:hAnsi="Times New Roman" w:cs="Times New Roman"/>
          <w:b/>
          <w:bCs/>
        </w:rPr>
      </w:pPr>
      <w:r w:rsidRPr="00FC7951">
        <w:rPr>
          <w:rFonts w:ascii="Times New Roman" w:hAnsi="Times New Roman" w:cs="Times New Roman"/>
          <w:b/>
          <w:bCs/>
        </w:rPr>
        <w:t>Выписки из ЕГРН:</w:t>
      </w:r>
    </w:p>
    <w:p w14:paraId="719A8D7D" w14:textId="77777777" w:rsidR="00B06B6F" w:rsidRPr="00FC7951" w:rsidRDefault="00B06B6F" w:rsidP="00725F19">
      <w:pPr>
        <w:pStyle w:val="ac"/>
        <w:numPr>
          <w:ilvl w:val="0"/>
          <w:numId w:val="44"/>
        </w:numPr>
        <w:rPr>
          <w:i/>
          <w:iCs/>
        </w:rPr>
      </w:pPr>
      <w:r w:rsidRPr="00FC7951">
        <w:rPr>
          <w:b/>
        </w:rPr>
        <w:t>Сведения о зарегистрированных правах, ограничениях прав и обременениях объекта недвижимости</w:t>
      </w:r>
    </w:p>
    <w:p w14:paraId="5132E314" w14:textId="77777777" w:rsidR="00B06B6F" w:rsidRPr="00FC7951" w:rsidRDefault="00B06B6F" w:rsidP="00725F19">
      <w:pPr>
        <w:ind w:firstLine="709"/>
        <w:jc w:val="both"/>
        <w:rPr>
          <w:rFonts w:ascii="Times New Roman" w:hAnsi="Times New Roman" w:cs="Times New Roman"/>
          <w:b/>
          <w:bCs/>
        </w:rPr>
      </w:pPr>
    </w:p>
    <w:p w14:paraId="283E5B0C" w14:textId="77777777" w:rsidR="00B06B6F" w:rsidRPr="00FC7951" w:rsidRDefault="00B06B6F" w:rsidP="00725F19">
      <w:pPr>
        <w:jc w:val="both"/>
        <w:rPr>
          <w:rFonts w:ascii="Times New Roman" w:hAnsi="Times New Roman" w:cs="Times New Roman"/>
          <w:b/>
          <w:bCs/>
        </w:rPr>
      </w:pPr>
      <w:r w:rsidRPr="00FC7951">
        <w:rPr>
          <w:rFonts w:ascii="Times New Roman" w:hAnsi="Times New Roman" w:cs="Times New Roman"/>
          <w:i/>
          <w:iCs/>
          <w:noProof/>
          <w:lang w:eastAsia="ru-RU"/>
        </w:rPr>
        <w:lastRenderedPageBreak/>
        <mc:AlternateContent>
          <mc:Choice Requires="wps">
            <w:drawing>
              <wp:anchor distT="0" distB="0" distL="114300" distR="114300" simplePos="0" relativeHeight="251665408" behindDoc="0" locked="0" layoutInCell="1" allowOverlap="1" wp14:anchorId="5710E003" wp14:editId="3D6EB360">
                <wp:simplePos x="0" y="0"/>
                <wp:positionH relativeFrom="column">
                  <wp:posOffset>3455035</wp:posOffset>
                </wp:positionH>
                <wp:positionV relativeFrom="paragraph">
                  <wp:posOffset>890270</wp:posOffset>
                </wp:positionV>
                <wp:extent cx="1100666" cy="177800"/>
                <wp:effectExtent l="0" t="0" r="23495" b="12700"/>
                <wp:wrapNone/>
                <wp:docPr id="24" name="Прямоугольник 24"/>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89EB47" id="Прямоугольник 24" o:spid="_x0000_s1026" style="position:absolute;margin-left:272.05pt;margin-top:70.1pt;width:86.65pt;height:1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6432" behindDoc="0" locked="0" layoutInCell="1" allowOverlap="1" wp14:anchorId="5AE42D02" wp14:editId="7E9F9C56">
                <wp:simplePos x="0" y="0"/>
                <wp:positionH relativeFrom="column">
                  <wp:posOffset>3340735</wp:posOffset>
                </wp:positionH>
                <wp:positionV relativeFrom="paragraph">
                  <wp:posOffset>1061085</wp:posOffset>
                </wp:positionV>
                <wp:extent cx="1447800" cy="186267"/>
                <wp:effectExtent l="0" t="0" r="19050" b="23495"/>
                <wp:wrapNone/>
                <wp:docPr id="1" name="Прямоугольник 1"/>
                <wp:cNvGraphicFramePr/>
                <a:graphic xmlns:a="http://schemas.openxmlformats.org/drawingml/2006/main">
                  <a:graphicData uri="http://schemas.microsoft.com/office/word/2010/wordprocessingShape">
                    <wps:wsp>
                      <wps:cNvSpPr/>
                      <wps:spPr>
                        <a:xfrm>
                          <a:off x="0" y="0"/>
                          <a:ext cx="1447800" cy="186267"/>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D7237" id="Прямоугольник 1" o:spid="_x0000_s1026" style="position:absolute;margin-left:263.05pt;margin-top:83.55pt;width:114pt;height:1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" filled="f" strokecolor="#44546a [3215]" strokeweight="1pt"/>
            </w:pict>
          </mc:Fallback>
        </mc:AlternateContent>
      </w:r>
      <w:r w:rsidRPr="00FC7951">
        <w:rPr>
          <w:rFonts w:ascii="Times New Roman" w:hAnsi="Times New Roman" w:cs="Times New Roman"/>
          <w:i/>
          <w:iCs/>
          <w:noProof/>
          <w:lang w:eastAsia="ru-RU"/>
        </w:rPr>
        <mc:AlternateContent>
          <mc:Choice Requires="wps">
            <w:drawing>
              <wp:anchor distT="0" distB="0" distL="114300" distR="114300" simplePos="0" relativeHeight="251667456" behindDoc="0" locked="0" layoutInCell="1" allowOverlap="1" wp14:anchorId="4C3D7DB0" wp14:editId="6E0B98E2">
                <wp:simplePos x="0" y="0"/>
                <wp:positionH relativeFrom="column">
                  <wp:posOffset>80645</wp:posOffset>
                </wp:positionH>
                <wp:positionV relativeFrom="paragraph">
                  <wp:posOffset>769620</wp:posOffset>
                </wp:positionV>
                <wp:extent cx="618067" cy="169333"/>
                <wp:effectExtent l="0" t="0" r="10795" b="21590"/>
                <wp:wrapNone/>
                <wp:docPr id="26" name="Прямоугольник 26"/>
                <wp:cNvGraphicFramePr/>
                <a:graphic xmlns:a="http://schemas.openxmlformats.org/drawingml/2006/main">
                  <a:graphicData uri="http://schemas.microsoft.com/office/word/2010/wordprocessingShape">
                    <wps:wsp>
                      <wps:cNvSpPr/>
                      <wps:spPr>
                        <a:xfrm>
                          <a:off x="0" y="0"/>
                          <a:ext cx="618067" cy="169333"/>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B00CB" id="Прямоугольник 26" o:spid="_x0000_s1026" style="position:absolute;margin-left:6.35pt;margin-top:60.6pt;width:48.65pt;height:1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" filled="f" strokecolor="#44546a [3215]" strokeweight="1pt"/>
            </w:pict>
          </mc:Fallback>
        </mc:AlternateContent>
      </w:r>
      <w:r w:rsidRPr="00FC7951">
        <w:rPr>
          <w:rStyle w:val="af2"/>
          <w:rFonts w:ascii="Times New Roman" w:hAnsi="Times New Roman" w:cs="Times New Roman"/>
          <w:noProof/>
          <w:lang w:eastAsia="ru-RU"/>
        </w:rPr>
        <w:drawing>
          <wp:inline distT="0" distB="0" distL="0" distR="0" wp14:anchorId="4DF50F09" wp14:editId="4D4EACB4">
            <wp:extent cx="5944787" cy="219671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014623" cy="2222521"/>
                    </a:xfrm>
                    <a:prstGeom prst="rect">
                      <a:avLst/>
                    </a:prstGeom>
                  </pic:spPr>
                </pic:pic>
              </a:graphicData>
            </a:graphic>
          </wp:inline>
        </w:drawing>
      </w:r>
    </w:p>
    <w:p w14:paraId="7B379A98" w14:textId="77777777" w:rsidR="00B06B6F" w:rsidRPr="00FC7951" w:rsidRDefault="00B06B6F" w:rsidP="00725F19">
      <w:pPr>
        <w:pStyle w:val="ac"/>
        <w:numPr>
          <w:ilvl w:val="0"/>
          <w:numId w:val="44"/>
        </w:numPr>
        <w:ind w:left="0" w:firstLine="426"/>
        <w:rPr>
          <w:i/>
          <w:iCs/>
        </w:rPr>
      </w:pPr>
      <w:r w:rsidRPr="00FC7951">
        <w:rPr>
          <w:b/>
        </w:rPr>
        <w:t>Сведения о характеристиках/об основных характеристиках объекта недвижимости</w:t>
      </w:r>
      <w:r w:rsidRPr="00FC7951">
        <w:rPr>
          <w:i/>
          <w:iCs/>
          <w:noProof/>
        </w:rPr>
        <w:t xml:space="preserve"> </w:t>
      </w:r>
    </w:p>
    <w:p w14:paraId="1F32C51D" w14:textId="77777777" w:rsidR="00B06B6F" w:rsidRPr="00FC7951" w:rsidRDefault="00B06B6F" w:rsidP="00725F19">
      <w:pPr>
        <w:pStyle w:val="ac"/>
        <w:ind w:left="0"/>
        <w:rPr>
          <w:i/>
          <w:iCs/>
        </w:rPr>
      </w:pPr>
    </w:p>
    <w:p w14:paraId="79C0A1CE" w14:textId="77777777" w:rsidR="00B06B6F" w:rsidRPr="00FC7951" w:rsidRDefault="00B06B6F" w:rsidP="00725F19">
      <w:pPr>
        <w:pStyle w:val="ac"/>
        <w:ind w:left="0"/>
        <w:rPr>
          <w:rStyle w:val="af2"/>
        </w:rPr>
      </w:pPr>
      <w:r w:rsidRPr="00FC7951">
        <w:rPr>
          <w:i/>
          <w:iCs/>
          <w:noProof/>
        </w:rPr>
        <mc:AlternateContent>
          <mc:Choice Requires="wps">
            <w:drawing>
              <wp:anchor distT="0" distB="0" distL="114300" distR="114300" simplePos="0" relativeHeight="251659264" behindDoc="0" locked="0" layoutInCell="1" allowOverlap="1" wp14:anchorId="5E444676" wp14:editId="7C500B3C">
                <wp:simplePos x="0" y="0"/>
                <wp:positionH relativeFrom="page">
                  <wp:align>center</wp:align>
                </wp:positionH>
                <wp:positionV relativeFrom="paragraph">
                  <wp:posOffset>3885989</wp:posOffset>
                </wp:positionV>
                <wp:extent cx="1143000" cy="169333"/>
                <wp:effectExtent l="0" t="0" r="19050" b="21590"/>
                <wp:wrapNone/>
                <wp:docPr id="12" name="Прямоугольник 12"/>
                <wp:cNvGraphicFramePr/>
                <a:graphic xmlns:a="http://schemas.openxmlformats.org/drawingml/2006/main">
                  <a:graphicData uri="http://schemas.microsoft.com/office/word/2010/wordprocessingShape">
                    <wps:wsp>
                      <wps:cNvSpPr/>
                      <wps:spPr>
                        <a:xfrm>
                          <a:off x="0" y="0"/>
                          <a:ext cx="1143000" cy="169333"/>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9C8CF2" id="Прямоугольник 12" o:spid="_x0000_s1026" style="position:absolute;margin-left:0;margin-top:306pt;width:90pt;height:13.35pt;z-index:25165926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" filled="f" strokecolor="red" strokeweight="1pt">
                <w10:wrap anchorx="page"/>
              </v:rect>
            </w:pict>
          </mc:Fallback>
        </mc:AlternateContent>
      </w:r>
      <w:r w:rsidRPr="00FC7951">
        <w:rPr>
          <w:i/>
          <w:iCs/>
          <w:noProof/>
        </w:rPr>
        <mc:AlternateContent>
          <mc:Choice Requires="wps">
            <w:drawing>
              <wp:anchor distT="0" distB="0" distL="114300" distR="114300" simplePos="0" relativeHeight="251660288" behindDoc="0" locked="0" layoutInCell="1" allowOverlap="1" wp14:anchorId="25CBEBFE" wp14:editId="1B293808">
                <wp:simplePos x="0" y="0"/>
                <wp:positionH relativeFrom="column">
                  <wp:posOffset>3461385</wp:posOffset>
                </wp:positionH>
                <wp:positionV relativeFrom="paragraph">
                  <wp:posOffset>1321647</wp:posOffset>
                </wp:positionV>
                <wp:extent cx="1100666" cy="177800"/>
                <wp:effectExtent l="0" t="0" r="23495" b="12700"/>
                <wp:wrapNone/>
                <wp:docPr id="14" name="Прямоугольник 14"/>
                <wp:cNvGraphicFramePr/>
                <a:graphic xmlns:a="http://schemas.openxmlformats.org/drawingml/2006/main">
                  <a:graphicData uri="http://schemas.microsoft.com/office/word/2010/wordprocessingShape">
                    <wps:wsp>
                      <wps:cNvSpPr/>
                      <wps:spPr>
                        <a:xfrm>
                          <a:off x="0" y="0"/>
                          <a:ext cx="1100666" cy="177800"/>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BB5106" id="Прямоугольник 14" o:spid="_x0000_s1026" style="position:absolute;margin-left:272.55pt;margin-top:104.05pt;width:86.65pt;height: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" filled="f" strokecolor="#44546a [3215]" strokeweight="1pt"/>
            </w:pict>
          </mc:Fallback>
        </mc:AlternateContent>
      </w:r>
      <w:r w:rsidRPr="00FC7951">
        <w:rPr>
          <w:i/>
          <w:iCs/>
          <w:noProof/>
        </w:rPr>
        <mc:AlternateContent>
          <mc:Choice Requires="wps">
            <w:drawing>
              <wp:anchor distT="0" distB="0" distL="114300" distR="114300" simplePos="0" relativeHeight="251664384" behindDoc="0" locked="0" layoutInCell="1" allowOverlap="1" wp14:anchorId="17574CB2" wp14:editId="0B260E93">
                <wp:simplePos x="0" y="0"/>
                <wp:positionH relativeFrom="column">
                  <wp:posOffset>57997</wp:posOffset>
                </wp:positionH>
                <wp:positionV relativeFrom="paragraph">
                  <wp:posOffset>1153583</wp:posOffset>
                </wp:positionV>
                <wp:extent cx="567267" cy="160866"/>
                <wp:effectExtent l="0" t="0" r="23495" b="10795"/>
                <wp:wrapNone/>
                <wp:docPr id="21" name="Прямоугольник 21"/>
                <wp:cNvGraphicFramePr/>
                <a:graphic xmlns:a="http://schemas.openxmlformats.org/drawingml/2006/main">
                  <a:graphicData uri="http://schemas.microsoft.com/office/word/2010/wordprocessingShape">
                    <wps:wsp>
                      <wps:cNvSpPr/>
                      <wps:spPr>
                        <a:xfrm>
                          <a:off x="0" y="0"/>
                          <a:ext cx="567267" cy="160866"/>
                        </a:xfrm>
                        <a:prstGeom prst="rect">
                          <a:avLst/>
                        </a:prstGeom>
                        <a:noFill/>
                        <a:ln>
                          <a:solidFill>
                            <a:schemeClr val="tx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E5A62" id="Прямоугольник 21" o:spid="_x0000_s1026" style="position:absolute;margin-left:4.55pt;margin-top:90.85pt;width:44.65pt;height:1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" filled="f" strokecolor="#44546a [3215]" strokeweight="1pt"/>
            </w:pict>
          </mc:Fallback>
        </mc:AlternateContent>
      </w:r>
      <w:r w:rsidRPr="00FC7951">
        <w:rPr>
          <w:rStyle w:val="af2"/>
          <w:noProof/>
        </w:rPr>
        <w:drawing>
          <wp:inline distT="0" distB="0" distL="0" distR="0" wp14:anchorId="4E09E2EF" wp14:editId="6C53DA3D">
            <wp:extent cx="5941617" cy="4626113"/>
            <wp:effectExtent l="0" t="0" r="254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79306" cy="4655457"/>
                    </a:xfrm>
                    <a:prstGeom prst="rect">
                      <a:avLst/>
                    </a:prstGeom>
                  </pic:spPr>
                </pic:pic>
              </a:graphicData>
            </a:graphic>
          </wp:inline>
        </w:drawing>
      </w:r>
    </w:p>
    <w:p w14:paraId="6E0C457B" w14:textId="77777777" w:rsidR="00B06B6F" w:rsidRPr="00FC7951" w:rsidRDefault="00B06B6F" w:rsidP="00725F19">
      <w:pPr>
        <w:pStyle w:val="ac"/>
        <w:ind w:left="0"/>
        <w:rPr>
          <w:rStyle w:val="af2"/>
          <w:sz w:val="22"/>
          <w:szCs w:val="22"/>
        </w:rPr>
      </w:pPr>
    </w:p>
    <w:p w14:paraId="67D28461" w14:textId="77777777" w:rsidR="00B06B6F" w:rsidRPr="00FC7951" w:rsidRDefault="00B06B6F" w:rsidP="00725F19">
      <w:pPr>
        <w:pStyle w:val="ac"/>
        <w:rPr>
          <w:rStyle w:val="af2"/>
        </w:rPr>
      </w:pPr>
    </w:p>
    <w:p w14:paraId="122D7175" w14:textId="77777777" w:rsidR="00B06B6F" w:rsidRPr="00FC7951" w:rsidRDefault="00B06B6F" w:rsidP="00725F19">
      <w:pPr>
        <w:spacing w:after="200" w:line="276" w:lineRule="auto"/>
        <w:rPr>
          <w:rFonts w:ascii="Times New Roman" w:hAnsi="Times New Roman" w:cs="Times New Roman"/>
          <w:sz w:val="28"/>
          <w:szCs w:val="28"/>
        </w:rPr>
      </w:pPr>
    </w:p>
    <w:sectPr w:rsidR="00B06B6F" w:rsidRPr="00FC7951">
      <w:head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C3D8" w14:textId="77777777" w:rsidR="00D34A11" w:rsidRDefault="00D34A11" w:rsidP="00F573BD">
      <w:pPr>
        <w:spacing w:after="0" w:line="240" w:lineRule="auto"/>
      </w:pPr>
      <w:r>
        <w:separator/>
      </w:r>
    </w:p>
  </w:endnote>
  <w:endnote w:type="continuationSeparator" w:id="0">
    <w:p w14:paraId="27EED518" w14:textId="77777777" w:rsidR="00D34A11" w:rsidRDefault="00D34A11" w:rsidP="00F57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5A2F" w14:textId="77777777" w:rsidR="00D34A11" w:rsidRDefault="00D34A11" w:rsidP="00F573BD">
      <w:pPr>
        <w:spacing w:after="0" w:line="240" w:lineRule="auto"/>
      </w:pPr>
      <w:r>
        <w:separator/>
      </w:r>
    </w:p>
  </w:footnote>
  <w:footnote w:type="continuationSeparator" w:id="0">
    <w:p w14:paraId="2B72DD0F" w14:textId="77777777" w:rsidR="00D34A11" w:rsidRDefault="00D34A11" w:rsidP="00F573BD">
      <w:pPr>
        <w:spacing w:after="0" w:line="240" w:lineRule="auto"/>
      </w:pPr>
      <w:r>
        <w:continuationSeparator/>
      </w:r>
    </w:p>
  </w:footnote>
  <w:footnote w:id="1">
    <w:p w14:paraId="34F8EE7E" w14:textId="77777777" w:rsidR="00D34A11" w:rsidRDefault="00D34A11" w:rsidP="00B06B6F">
      <w:pPr>
        <w:pStyle w:val="af5"/>
      </w:pPr>
      <w:r>
        <w:rPr>
          <w:rStyle w:val="af7"/>
        </w:rPr>
        <w:footnoteRef/>
      </w:r>
      <w:r>
        <w:t xml:space="preserve"> Здесь и далее – ранжирование предложений применяется при проведении конкурентных процедур и/или при необходимости</w:t>
      </w:r>
    </w:p>
  </w:footnote>
  <w:footnote w:id="2">
    <w:p w14:paraId="4CE2307D" w14:textId="77777777" w:rsidR="00D34A11" w:rsidRDefault="00D34A11" w:rsidP="00B06B6F">
      <w:pPr>
        <w:pStyle w:val="af5"/>
      </w:pPr>
      <w:r>
        <w:rPr>
          <w:rStyle w:val="af7"/>
        </w:rPr>
        <w:footnoteRef/>
      </w:r>
      <w:r>
        <w:t xml:space="preserve"> При применении настоящей Методики учитывать ВНД в актуальных версиях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4924"/>
      <w:gridCol w:w="2266"/>
    </w:tblGrid>
    <w:tr w:rsidR="00D34A11" w:rsidRPr="00A62BF8" w14:paraId="75510521" w14:textId="77777777" w:rsidTr="00FC7951">
      <w:trPr>
        <w:cantSplit/>
        <w:trHeight w:val="242"/>
      </w:trPr>
      <w:tc>
        <w:tcPr>
          <w:tcW w:w="2436" w:type="dxa"/>
          <w:vMerge w:val="restart"/>
          <w:vAlign w:val="center"/>
        </w:tcPr>
        <w:p w14:paraId="7846F835" w14:textId="77777777" w:rsidR="00D34A11" w:rsidRDefault="00D34A11" w:rsidP="00F573BD">
          <w:pPr>
            <w:pStyle w:val="a3"/>
            <w:jc w:val="center"/>
            <w:rPr>
              <w:b/>
              <w:bCs/>
              <w:sz w:val="20"/>
            </w:rPr>
          </w:pPr>
          <w:r>
            <w:rPr>
              <w:noProof/>
              <w:lang w:eastAsia="ru-RU"/>
            </w:rPr>
            <w:drawing>
              <wp:inline distT="0" distB="0" distL="0" distR="0" wp14:anchorId="14AD2858" wp14:editId="51F16693">
                <wp:extent cx="1418590" cy="76136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inline>
            </w:drawing>
          </w:r>
        </w:p>
      </w:tc>
      <w:tc>
        <w:tcPr>
          <w:tcW w:w="4936" w:type="dxa"/>
          <w:vMerge w:val="restart"/>
          <w:vAlign w:val="center"/>
        </w:tcPr>
        <w:p w14:paraId="6FE26BFD" w14:textId="77777777" w:rsidR="00D34A11" w:rsidRDefault="00D34A11" w:rsidP="00F573BD">
          <w:pPr>
            <w:pStyle w:val="a3"/>
            <w:jc w:val="center"/>
            <w:rPr>
              <w:rFonts w:ascii="Times New Roman" w:hAnsi="Times New Roman" w:cs="Times New Roman"/>
              <w:sz w:val="24"/>
              <w:szCs w:val="24"/>
            </w:rPr>
          </w:pPr>
          <w:r w:rsidRPr="00F573BD">
            <w:rPr>
              <w:rFonts w:ascii="Times New Roman" w:hAnsi="Times New Roman" w:cs="Times New Roman"/>
              <w:sz w:val="24"/>
              <w:szCs w:val="24"/>
            </w:rPr>
            <w:t>Методика «Проведение экспертизы финансово-экономической устойчивости участников закупочных процедур»</w:t>
          </w:r>
          <w:r>
            <w:rPr>
              <w:rFonts w:ascii="Times New Roman" w:hAnsi="Times New Roman" w:cs="Times New Roman"/>
              <w:sz w:val="24"/>
              <w:szCs w:val="24"/>
            </w:rPr>
            <w:t xml:space="preserve"> </w:t>
          </w:r>
        </w:p>
        <w:p w14:paraId="55ACFA05" w14:textId="043B3EBC" w:rsidR="00D34A11" w:rsidRPr="00F573BD" w:rsidRDefault="00D34A11" w:rsidP="00F573BD">
          <w:pPr>
            <w:pStyle w:val="a3"/>
            <w:jc w:val="center"/>
            <w:rPr>
              <w:rFonts w:ascii="Times New Roman" w:hAnsi="Times New Roman" w:cs="Times New Roman"/>
              <w:sz w:val="24"/>
              <w:szCs w:val="24"/>
            </w:rPr>
          </w:pPr>
          <w:r w:rsidRPr="001E7E85">
            <w:rPr>
              <w:rFonts w:ascii="Times New Roman" w:hAnsi="Times New Roman" w:cs="Times New Roman"/>
              <w:sz w:val="24"/>
              <w:szCs w:val="24"/>
            </w:rPr>
            <w:t>АО «ЕИРЦ ЛО»</w:t>
          </w:r>
        </w:p>
      </w:tc>
      <w:tc>
        <w:tcPr>
          <w:tcW w:w="2268" w:type="dxa"/>
          <w:vAlign w:val="center"/>
        </w:tcPr>
        <w:p w14:paraId="680079E4" w14:textId="77777777" w:rsidR="00D34A11" w:rsidRPr="00F573BD" w:rsidRDefault="00D34A11" w:rsidP="00F573BD">
          <w:pPr>
            <w:pStyle w:val="a3"/>
            <w:jc w:val="center"/>
            <w:rPr>
              <w:rFonts w:ascii="Times New Roman" w:hAnsi="Times New Roman" w:cs="Times New Roman"/>
              <w:sz w:val="24"/>
              <w:szCs w:val="24"/>
              <w:lang w:val="en-TT"/>
            </w:rPr>
          </w:pPr>
          <w:r w:rsidRPr="00F573BD">
            <w:rPr>
              <w:rFonts w:ascii="Times New Roman" w:hAnsi="Times New Roman" w:cs="Times New Roman"/>
              <w:sz w:val="24"/>
              <w:szCs w:val="24"/>
            </w:rPr>
            <w:t>МТ-065-</w:t>
          </w:r>
          <w:r>
            <w:rPr>
              <w:rFonts w:ascii="Times New Roman" w:hAnsi="Times New Roman" w:cs="Times New Roman"/>
              <w:sz w:val="24"/>
              <w:szCs w:val="24"/>
              <w:lang w:val="en-TT"/>
            </w:rPr>
            <w:t>4</w:t>
          </w:r>
        </w:p>
      </w:tc>
    </w:tr>
    <w:tr w:rsidR="00D34A11" w:rsidRPr="00A62BF8" w14:paraId="732B11A6" w14:textId="77777777" w:rsidTr="00FC7951">
      <w:trPr>
        <w:cantSplit/>
        <w:trHeight w:val="329"/>
      </w:trPr>
      <w:tc>
        <w:tcPr>
          <w:tcW w:w="2436" w:type="dxa"/>
          <w:vMerge/>
          <w:vAlign w:val="center"/>
        </w:tcPr>
        <w:p w14:paraId="403EB302" w14:textId="77777777" w:rsidR="00D34A11" w:rsidRDefault="00D34A11" w:rsidP="00F573BD">
          <w:pPr>
            <w:pStyle w:val="a3"/>
            <w:jc w:val="center"/>
            <w:rPr>
              <w:sz w:val="20"/>
            </w:rPr>
          </w:pPr>
        </w:p>
      </w:tc>
      <w:tc>
        <w:tcPr>
          <w:tcW w:w="4936" w:type="dxa"/>
          <w:vMerge/>
        </w:tcPr>
        <w:p w14:paraId="40661C7B" w14:textId="77777777" w:rsidR="00D34A11" w:rsidRPr="00F573BD" w:rsidRDefault="00D34A11" w:rsidP="00F573BD">
          <w:pPr>
            <w:spacing w:line="360" w:lineRule="auto"/>
            <w:jc w:val="center"/>
            <w:rPr>
              <w:rFonts w:ascii="Times New Roman" w:hAnsi="Times New Roman" w:cs="Times New Roman"/>
              <w:b/>
              <w:bCs/>
              <w:sz w:val="24"/>
              <w:szCs w:val="24"/>
            </w:rPr>
          </w:pPr>
        </w:p>
      </w:tc>
      <w:tc>
        <w:tcPr>
          <w:tcW w:w="2268" w:type="dxa"/>
          <w:vAlign w:val="center"/>
        </w:tcPr>
        <w:p w14:paraId="285F82D6" w14:textId="77777777" w:rsidR="00D34A11" w:rsidRPr="00F573BD" w:rsidRDefault="00D34A11" w:rsidP="00F573BD">
          <w:pPr>
            <w:pStyle w:val="a3"/>
            <w:jc w:val="center"/>
            <w:rPr>
              <w:rFonts w:ascii="Times New Roman" w:hAnsi="Times New Roman" w:cs="Times New Roman"/>
              <w:sz w:val="24"/>
              <w:szCs w:val="24"/>
            </w:rPr>
          </w:pPr>
          <w:r w:rsidRPr="00F573BD">
            <w:rPr>
              <w:rFonts w:ascii="Times New Roman" w:hAnsi="Times New Roman" w:cs="Times New Roman"/>
              <w:sz w:val="24"/>
              <w:szCs w:val="24"/>
            </w:rPr>
            <w:t>Для внутреннего использования</w:t>
          </w:r>
        </w:p>
      </w:tc>
    </w:tr>
  </w:tbl>
  <w:p w14:paraId="5650F933" w14:textId="77777777" w:rsidR="00D34A11" w:rsidRDefault="00D34A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356D0"/>
    <w:multiLevelType w:val="hybridMultilevel"/>
    <w:tmpl w:val="530A0E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457805"/>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0C7C3389"/>
    <w:multiLevelType w:val="multilevel"/>
    <w:tmpl w:val="98B49A28"/>
    <w:lvl w:ilvl="0">
      <w:start w:val="12"/>
      <w:numFmt w:val="decimal"/>
      <w:lvlText w:val="%1."/>
      <w:lvlJc w:val="left"/>
      <w:pPr>
        <w:ind w:left="1511"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41527"/>
    <w:multiLevelType w:val="hybridMultilevel"/>
    <w:tmpl w:val="9F9009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FB0957"/>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15:restartNumberingAfterBreak="0">
    <w:nsid w:val="11CB3D1C"/>
    <w:multiLevelType w:val="hybridMultilevel"/>
    <w:tmpl w:val="81785C4C"/>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97A7A"/>
    <w:multiLevelType w:val="hybridMultilevel"/>
    <w:tmpl w:val="EF3EA7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147978"/>
    <w:multiLevelType w:val="hybridMultilevel"/>
    <w:tmpl w:val="A52874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007655"/>
    <w:multiLevelType w:val="hybridMultilevel"/>
    <w:tmpl w:val="D89EB0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065188"/>
    <w:multiLevelType w:val="hybridMultilevel"/>
    <w:tmpl w:val="0C6CD69A"/>
    <w:lvl w:ilvl="0" w:tplc="135638A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4F713F"/>
    <w:multiLevelType w:val="multilevel"/>
    <w:tmpl w:val="B89263AA"/>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1AEF08C8"/>
    <w:multiLevelType w:val="hybridMultilevel"/>
    <w:tmpl w:val="3594E88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3" w15:restartNumberingAfterBreak="0">
    <w:nsid w:val="1D712236"/>
    <w:multiLevelType w:val="hybridMultilevel"/>
    <w:tmpl w:val="520CF7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295482"/>
    <w:multiLevelType w:val="hybridMultilevel"/>
    <w:tmpl w:val="19B6B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4A4B48"/>
    <w:multiLevelType w:val="hybridMultilevel"/>
    <w:tmpl w:val="ACD4B4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7000D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B26848"/>
    <w:multiLevelType w:val="multilevel"/>
    <w:tmpl w:val="C73A91E6"/>
    <w:lvl w:ilvl="0">
      <w:start w:val="6"/>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329F3A09"/>
    <w:multiLevelType w:val="hybridMultilevel"/>
    <w:tmpl w:val="70D40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2A0631B"/>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0" w15:restartNumberingAfterBreak="0">
    <w:nsid w:val="3681354C"/>
    <w:multiLevelType w:val="hybridMultilevel"/>
    <w:tmpl w:val="B82CFA66"/>
    <w:lvl w:ilvl="0" w:tplc="65D87434">
      <w:start w:val="1"/>
      <w:numFmt w:val="decimal"/>
      <w:lvlText w:val="4.%1"/>
      <w:lvlJc w:val="left"/>
      <w:pPr>
        <w:ind w:left="1040" w:hanging="360"/>
      </w:pPr>
      <w:rPr>
        <w:rFont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1" w15:restartNumberingAfterBreak="0">
    <w:nsid w:val="38B96390"/>
    <w:multiLevelType w:val="hybridMultilevel"/>
    <w:tmpl w:val="AB60F8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B992AE7"/>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0743E"/>
    <w:multiLevelType w:val="multilevel"/>
    <w:tmpl w:val="561E41AE"/>
    <w:lvl w:ilvl="0">
      <w:start w:val="1"/>
      <w:numFmt w:val="decimal"/>
      <w:pStyle w:val="1"/>
      <w:lvlText w:val="%1."/>
      <w:lvlJc w:val="left"/>
      <w:pPr>
        <w:tabs>
          <w:tab w:val="num" w:pos="1353"/>
        </w:tabs>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24" w15:restartNumberingAfterBreak="0">
    <w:nsid w:val="444E31B6"/>
    <w:multiLevelType w:val="hybridMultilevel"/>
    <w:tmpl w:val="C63ECD30"/>
    <w:lvl w:ilvl="0" w:tplc="06567864">
      <w:start w:val="1"/>
      <w:numFmt w:val="bullet"/>
      <w:lvlText w:val=""/>
      <w:lvlJc w:val="left"/>
      <w:pPr>
        <w:ind w:left="17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656786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8B0321"/>
    <w:multiLevelType w:val="hybridMultilevel"/>
    <w:tmpl w:val="608C73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1C414B4"/>
    <w:multiLevelType w:val="hybridMultilevel"/>
    <w:tmpl w:val="872AD6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15:restartNumberingAfterBreak="0">
    <w:nsid w:val="527E6699"/>
    <w:multiLevelType w:val="hybridMultilevel"/>
    <w:tmpl w:val="6FCED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750306F"/>
    <w:multiLevelType w:val="hybridMultilevel"/>
    <w:tmpl w:val="831658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1" w15:restartNumberingAfterBreak="0">
    <w:nsid w:val="68E151F8"/>
    <w:multiLevelType w:val="hybridMultilevel"/>
    <w:tmpl w:val="DDD83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BCA6303"/>
    <w:multiLevelType w:val="hybridMultilevel"/>
    <w:tmpl w:val="5146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D02EC1"/>
    <w:multiLevelType w:val="hybridMultilevel"/>
    <w:tmpl w:val="FA38E9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C86E34"/>
    <w:multiLevelType w:val="hybridMultilevel"/>
    <w:tmpl w:val="389E5E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F2F1FB5"/>
    <w:multiLevelType w:val="hybridMultilevel"/>
    <w:tmpl w:val="7B0621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2C0AB3"/>
    <w:multiLevelType w:val="multilevel"/>
    <w:tmpl w:val="728E4C0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BA2D05"/>
    <w:multiLevelType w:val="hybridMultilevel"/>
    <w:tmpl w:val="8872FC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AC7E8B"/>
    <w:multiLevelType w:val="hybridMultilevel"/>
    <w:tmpl w:val="CF84B2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0155C"/>
    <w:multiLevelType w:val="hybridMultilevel"/>
    <w:tmpl w:val="8C367DE2"/>
    <w:lvl w:ilvl="0" w:tplc="04190005">
      <w:start w:val="1"/>
      <w:numFmt w:val="bullet"/>
      <w:lvlText w:val=""/>
      <w:lvlJc w:val="left"/>
      <w:pPr>
        <w:ind w:left="1040" w:hanging="360"/>
      </w:pPr>
      <w:rPr>
        <w:rFonts w:ascii="Wingdings" w:hAnsi="Wingdings" w:hint="default"/>
      </w:rPr>
    </w:lvl>
    <w:lvl w:ilvl="1" w:tplc="04190003">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0" w15:restartNumberingAfterBreak="0">
    <w:nsid w:val="75766E9E"/>
    <w:multiLevelType w:val="multilevel"/>
    <w:tmpl w:val="31FC2122"/>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D969C7"/>
    <w:multiLevelType w:val="hybridMultilevel"/>
    <w:tmpl w:val="4E2075BE"/>
    <w:lvl w:ilvl="0" w:tplc="4C082A9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BC59A6"/>
    <w:multiLevelType w:val="hybridMultilevel"/>
    <w:tmpl w:val="4726FC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A849B2"/>
    <w:multiLevelType w:val="multilevel"/>
    <w:tmpl w:val="DF4C1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9"/>
  </w:num>
  <w:num w:numId="3">
    <w:abstractNumId w:val="32"/>
  </w:num>
  <w:num w:numId="4">
    <w:abstractNumId w:val="29"/>
  </w:num>
  <w:num w:numId="5">
    <w:abstractNumId w:val="10"/>
  </w:num>
  <w:num w:numId="6">
    <w:abstractNumId w:val="35"/>
  </w:num>
  <w:num w:numId="7">
    <w:abstractNumId w:val="38"/>
  </w:num>
  <w:num w:numId="8">
    <w:abstractNumId w:val="33"/>
  </w:num>
  <w:num w:numId="9">
    <w:abstractNumId w:val="42"/>
  </w:num>
  <w:num w:numId="10">
    <w:abstractNumId w:val="4"/>
  </w:num>
  <w:num w:numId="11">
    <w:abstractNumId w:val="6"/>
  </w:num>
  <w:num w:numId="12">
    <w:abstractNumId w:val="26"/>
  </w:num>
  <w:num w:numId="13">
    <w:abstractNumId w:val="15"/>
  </w:num>
  <w:num w:numId="14">
    <w:abstractNumId w:val="17"/>
  </w:num>
  <w:num w:numId="15">
    <w:abstractNumId w:val="5"/>
  </w:num>
  <w:num w:numId="16">
    <w:abstractNumId w:val="36"/>
  </w:num>
  <w:num w:numId="17">
    <w:abstractNumId w:val="31"/>
  </w:num>
  <w:num w:numId="18">
    <w:abstractNumId w:val="34"/>
  </w:num>
  <w:num w:numId="19">
    <w:abstractNumId w:val="18"/>
  </w:num>
  <w:num w:numId="20">
    <w:abstractNumId w:val="37"/>
  </w:num>
  <w:num w:numId="21">
    <w:abstractNumId w:val="12"/>
  </w:num>
  <w:num w:numId="22">
    <w:abstractNumId w:val="28"/>
  </w:num>
  <w:num w:numId="23">
    <w:abstractNumId w:val="24"/>
  </w:num>
  <w:num w:numId="24">
    <w:abstractNumId w:val="22"/>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16"/>
  </w:num>
  <w:num w:numId="30">
    <w:abstractNumId w:val="1"/>
  </w:num>
  <w:num w:numId="31">
    <w:abstractNumId w:val="0"/>
  </w:num>
  <w:num w:numId="32">
    <w:abstractNumId w:val="39"/>
  </w:num>
  <w:num w:numId="33">
    <w:abstractNumId w:val="20"/>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5"/>
  </w:num>
  <w:num w:numId="37">
    <w:abstractNumId w:val="41"/>
  </w:num>
  <w:num w:numId="38">
    <w:abstractNumId w:val="13"/>
  </w:num>
  <w:num w:numId="39">
    <w:abstractNumId w:val="7"/>
  </w:num>
  <w:num w:numId="40">
    <w:abstractNumId w:val="8"/>
  </w:num>
  <w:num w:numId="41">
    <w:abstractNumId w:val="30"/>
  </w:num>
  <w:num w:numId="42">
    <w:abstractNumId w:val="9"/>
  </w:num>
  <w:num w:numId="43">
    <w:abstractNumId w:val="21"/>
  </w:num>
  <w:num w:numId="44">
    <w:abstractNumId w:val="14"/>
  </w:num>
  <w:num w:numId="45">
    <w:abstractNumId w:val="40"/>
  </w:num>
  <w:num w:numId="46">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3"/>
    <w:lvlOverride w:ilvl="0">
      <w:startOverride w:val="4"/>
    </w:lvlOverride>
    <w:lvlOverride w:ilvl="1">
      <w:startOverride w:val="7"/>
    </w:lvlOverride>
  </w:num>
  <w:num w:numId="49">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257"/>
    <w:rsid w:val="00076CE3"/>
    <w:rsid w:val="000F5480"/>
    <w:rsid w:val="001746C7"/>
    <w:rsid w:val="001C6AC7"/>
    <w:rsid w:val="001E7E85"/>
    <w:rsid w:val="001F127F"/>
    <w:rsid w:val="001F2C41"/>
    <w:rsid w:val="00203A75"/>
    <w:rsid w:val="0022205E"/>
    <w:rsid w:val="00302154"/>
    <w:rsid w:val="00351B09"/>
    <w:rsid w:val="00365F96"/>
    <w:rsid w:val="003723EF"/>
    <w:rsid w:val="00387421"/>
    <w:rsid w:val="00391929"/>
    <w:rsid w:val="003D1CBB"/>
    <w:rsid w:val="003F4A32"/>
    <w:rsid w:val="0041278C"/>
    <w:rsid w:val="00507E0D"/>
    <w:rsid w:val="00521C78"/>
    <w:rsid w:val="006145DA"/>
    <w:rsid w:val="00615A2B"/>
    <w:rsid w:val="006A2F71"/>
    <w:rsid w:val="00725F19"/>
    <w:rsid w:val="00791B2D"/>
    <w:rsid w:val="00792317"/>
    <w:rsid w:val="007A07DF"/>
    <w:rsid w:val="007E78D6"/>
    <w:rsid w:val="008303F7"/>
    <w:rsid w:val="00832349"/>
    <w:rsid w:val="009F35EB"/>
    <w:rsid w:val="00A66BF5"/>
    <w:rsid w:val="00A74883"/>
    <w:rsid w:val="00AF0ED2"/>
    <w:rsid w:val="00AF11D2"/>
    <w:rsid w:val="00B06B6F"/>
    <w:rsid w:val="00BF4A8E"/>
    <w:rsid w:val="00CF1F63"/>
    <w:rsid w:val="00D34A11"/>
    <w:rsid w:val="00D665C6"/>
    <w:rsid w:val="00DE4B3B"/>
    <w:rsid w:val="00E16E2C"/>
    <w:rsid w:val="00E34598"/>
    <w:rsid w:val="00E45BAE"/>
    <w:rsid w:val="00E477CA"/>
    <w:rsid w:val="00E77932"/>
    <w:rsid w:val="00EB592A"/>
    <w:rsid w:val="00EF36EE"/>
    <w:rsid w:val="00F16257"/>
    <w:rsid w:val="00F31DB7"/>
    <w:rsid w:val="00F573BD"/>
    <w:rsid w:val="00FC7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C4928A1"/>
  <w15:chartTrackingRefBased/>
  <w15:docId w15:val="{266191D2-4991-4872-AD95-CD43A9A53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B06B6F"/>
    <w:pPr>
      <w:numPr>
        <w:numId w:val="1"/>
      </w:numPr>
      <w:spacing w:before="120" w:after="120" w:line="240" w:lineRule="auto"/>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3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73BD"/>
  </w:style>
  <w:style w:type="paragraph" w:styleId="a5">
    <w:name w:val="footer"/>
    <w:basedOn w:val="a"/>
    <w:link w:val="a6"/>
    <w:uiPriority w:val="99"/>
    <w:unhideWhenUsed/>
    <w:rsid w:val="00F573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73BD"/>
  </w:style>
  <w:style w:type="character" w:customStyle="1" w:styleId="10">
    <w:name w:val="Заголовок 1 Знак"/>
    <w:basedOn w:val="a0"/>
    <w:link w:val="1"/>
    <w:rsid w:val="00B06B6F"/>
    <w:rPr>
      <w:rFonts w:ascii="Times New Roman" w:eastAsia="Times New Roman" w:hAnsi="Times New Roman" w:cs="Times New Roman"/>
      <w:b/>
      <w:sz w:val="24"/>
      <w:szCs w:val="24"/>
      <w:lang w:eastAsia="ru-RU"/>
    </w:rPr>
  </w:style>
  <w:style w:type="table" w:styleId="a7">
    <w:name w:val="Table Grid"/>
    <w:basedOn w:val="a1"/>
    <w:uiPriority w:val="59"/>
    <w:rsid w:val="00B06B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B06B6F"/>
    <w:pPr>
      <w:spacing w:after="0" w:line="240" w:lineRule="auto"/>
      <w:jc w:val="center"/>
    </w:pPr>
    <w:rPr>
      <w:rFonts w:ascii="Times New Roman" w:eastAsia="Times New Roman" w:hAnsi="Times New Roman" w:cs="Times New Roman"/>
      <w:b/>
      <w:bCs/>
      <w:sz w:val="28"/>
      <w:szCs w:val="24"/>
      <w:lang w:eastAsia="ru-RU"/>
    </w:rPr>
  </w:style>
  <w:style w:type="character" w:customStyle="1" w:styleId="a9">
    <w:name w:val="Заголовок Знак"/>
    <w:basedOn w:val="a0"/>
    <w:link w:val="a8"/>
    <w:rsid w:val="00B06B6F"/>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B06B6F"/>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B06B6F"/>
    <w:pPr>
      <w:spacing w:after="0" w:line="240" w:lineRule="auto"/>
      <w:jc w:val="both"/>
    </w:pPr>
    <w:rPr>
      <w:rFonts w:ascii="Times New Roman" w:eastAsia="Times New Roman" w:hAnsi="Times New Roman" w:cs="Times New Roman"/>
      <w:sz w:val="24"/>
      <w:szCs w:val="24"/>
      <w:lang w:eastAsia="ru-RU"/>
    </w:rPr>
  </w:style>
  <w:style w:type="character" w:styleId="aa">
    <w:name w:val="page number"/>
    <w:basedOn w:val="a0"/>
    <w:rsid w:val="00B06B6F"/>
  </w:style>
  <w:style w:type="paragraph" w:customStyle="1" w:styleId="TableHeader">
    <w:name w:val="TableHeader"/>
    <w:rsid w:val="00B06B6F"/>
    <w:pPr>
      <w:spacing w:after="0" w:line="288" w:lineRule="atLeast"/>
      <w:jc w:val="center"/>
    </w:pPr>
    <w:rPr>
      <w:rFonts w:ascii="Arial" w:eastAsia="Arial" w:hAnsi="Arial" w:cs="Arial"/>
      <w:b/>
      <w:color w:val="000000"/>
      <w:sz w:val="24"/>
      <w:szCs w:val="20"/>
      <w:shd w:val="clear" w:color="auto" w:fill="D9D9D9"/>
      <w:lang w:eastAsia="ru-RU"/>
    </w:rPr>
  </w:style>
  <w:style w:type="paragraph" w:customStyle="1" w:styleId="TableSubheader">
    <w:name w:val="TableSubheader"/>
    <w:rsid w:val="00B06B6F"/>
    <w:pPr>
      <w:spacing w:after="0" w:line="288" w:lineRule="atLeast"/>
      <w:jc w:val="center"/>
    </w:pPr>
    <w:rPr>
      <w:rFonts w:ascii="Arial" w:eastAsia="Arial" w:hAnsi="Arial" w:cs="Arial"/>
      <w:i/>
      <w:color w:val="000000"/>
      <w:sz w:val="24"/>
      <w:szCs w:val="20"/>
      <w:shd w:val="clear" w:color="auto" w:fill="D9D9D9"/>
      <w:lang w:eastAsia="ru-RU"/>
    </w:rPr>
  </w:style>
  <w:style w:type="paragraph" w:customStyle="1" w:styleId="TableText">
    <w:name w:val="TableText"/>
    <w:rsid w:val="00B06B6F"/>
    <w:pPr>
      <w:spacing w:after="0" w:line="288" w:lineRule="atLeast"/>
    </w:pPr>
    <w:rPr>
      <w:rFonts w:ascii="Arial" w:eastAsia="Arial" w:hAnsi="Arial" w:cs="Arial"/>
      <w:color w:val="000000"/>
      <w:sz w:val="24"/>
      <w:szCs w:val="20"/>
      <w:lang w:eastAsia="ru-RU"/>
    </w:rPr>
  </w:style>
  <w:style w:type="character" w:styleId="ab">
    <w:name w:val="Hyperlink"/>
    <w:uiPriority w:val="99"/>
    <w:rsid w:val="00B06B6F"/>
    <w:rPr>
      <w:color w:val="0000FF"/>
      <w:u w:val="single"/>
    </w:rPr>
  </w:style>
  <w:style w:type="paragraph" w:styleId="11">
    <w:name w:val="toc 1"/>
    <w:basedOn w:val="a"/>
    <w:next w:val="a"/>
    <w:autoRedefine/>
    <w:uiPriority w:val="39"/>
    <w:rsid w:val="00B06B6F"/>
    <w:pPr>
      <w:tabs>
        <w:tab w:val="left" w:pos="440"/>
        <w:tab w:val="right" w:leader="dot" w:pos="10053"/>
      </w:tabs>
      <w:spacing w:before="120" w:after="0" w:line="240" w:lineRule="auto"/>
    </w:pPr>
    <w:rPr>
      <w:rFonts w:ascii="Arial" w:eastAsia="Times New Roman" w:hAnsi="Arial" w:cs="Times New Roman"/>
      <w:bCs/>
      <w:iCs/>
      <w:sz w:val="24"/>
      <w:szCs w:val="24"/>
      <w:lang w:eastAsia="ru-RU"/>
    </w:rPr>
  </w:style>
  <w:style w:type="paragraph" w:styleId="ac">
    <w:name w:val="List Paragraph"/>
    <w:basedOn w:val="a"/>
    <w:link w:val="ad"/>
    <w:uiPriority w:val="34"/>
    <w:qFormat/>
    <w:rsid w:val="00B06B6F"/>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B06B6F"/>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B06B6F"/>
    <w:rPr>
      <w:rFonts w:ascii="Tahoma" w:eastAsia="Times New Roman" w:hAnsi="Tahoma" w:cs="Tahoma"/>
      <w:sz w:val="16"/>
      <w:szCs w:val="16"/>
      <w:lang w:eastAsia="ru-RU"/>
    </w:rPr>
  </w:style>
  <w:style w:type="paragraph" w:styleId="af0">
    <w:name w:val="annotation text"/>
    <w:basedOn w:val="a"/>
    <w:link w:val="af1"/>
    <w:semiHidden/>
    <w:rsid w:val="00B06B6F"/>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semiHidden/>
    <w:rsid w:val="00B06B6F"/>
    <w:rPr>
      <w:rFonts w:ascii="Times New Roman" w:eastAsia="Times New Roman" w:hAnsi="Times New Roman" w:cs="Times New Roman"/>
      <w:sz w:val="20"/>
      <w:szCs w:val="20"/>
      <w:lang w:eastAsia="ru-RU"/>
    </w:rPr>
  </w:style>
  <w:style w:type="character" w:styleId="af2">
    <w:name w:val="Emphasis"/>
    <w:qFormat/>
    <w:rsid w:val="00B06B6F"/>
    <w:rPr>
      <w:i/>
      <w:iCs/>
    </w:rPr>
  </w:style>
  <w:style w:type="paragraph" w:styleId="af3">
    <w:name w:val="TOC Heading"/>
    <w:basedOn w:val="1"/>
    <w:next w:val="a"/>
    <w:uiPriority w:val="39"/>
    <w:unhideWhenUsed/>
    <w:qFormat/>
    <w:rsid w:val="00B06B6F"/>
    <w:pPr>
      <w:keepLines/>
      <w:spacing w:after="0" w:line="259" w:lineRule="auto"/>
      <w:outlineLvl w:val="9"/>
    </w:pPr>
    <w:rPr>
      <w:rFonts w:asciiTheme="majorHAnsi" w:eastAsiaTheme="majorEastAsia" w:hAnsiTheme="majorHAnsi" w:cstheme="majorBidi"/>
      <w:b w:val="0"/>
      <w:bCs/>
      <w:color w:val="2E74B5" w:themeColor="accent1" w:themeShade="BF"/>
    </w:rPr>
  </w:style>
  <w:style w:type="character" w:styleId="af4">
    <w:name w:val="FollowedHyperlink"/>
    <w:basedOn w:val="a0"/>
    <w:uiPriority w:val="99"/>
    <w:semiHidden/>
    <w:unhideWhenUsed/>
    <w:rsid w:val="00B06B6F"/>
    <w:rPr>
      <w:color w:val="954F72" w:themeColor="followedHyperlink"/>
      <w:u w:val="single"/>
    </w:rPr>
  </w:style>
  <w:style w:type="paragraph" w:styleId="2">
    <w:name w:val="toc 2"/>
    <w:basedOn w:val="a"/>
    <w:next w:val="a"/>
    <w:autoRedefine/>
    <w:uiPriority w:val="39"/>
    <w:unhideWhenUsed/>
    <w:rsid w:val="00B06B6F"/>
    <w:pPr>
      <w:spacing w:after="100"/>
      <w:ind w:left="220"/>
    </w:pPr>
    <w:rPr>
      <w:rFonts w:eastAsiaTheme="minorEastAsia" w:cs="Times New Roman"/>
      <w:lang w:eastAsia="ru-RU"/>
    </w:rPr>
  </w:style>
  <w:style w:type="paragraph" w:styleId="3">
    <w:name w:val="toc 3"/>
    <w:basedOn w:val="a"/>
    <w:next w:val="a"/>
    <w:autoRedefine/>
    <w:uiPriority w:val="39"/>
    <w:unhideWhenUsed/>
    <w:rsid w:val="00B06B6F"/>
    <w:pPr>
      <w:spacing w:after="100"/>
      <w:ind w:left="440"/>
    </w:pPr>
    <w:rPr>
      <w:rFonts w:eastAsiaTheme="minorEastAsia" w:cs="Times New Roman"/>
      <w:lang w:eastAsia="ru-RU"/>
    </w:rPr>
  </w:style>
  <w:style w:type="paragraph" w:styleId="af5">
    <w:name w:val="footnote text"/>
    <w:basedOn w:val="a"/>
    <w:link w:val="af6"/>
    <w:uiPriority w:val="99"/>
    <w:semiHidden/>
    <w:unhideWhenUsed/>
    <w:rsid w:val="00B06B6F"/>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uiPriority w:val="99"/>
    <w:semiHidden/>
    <w:rsid w:val="00B06B6F"/>
    <w:rPr>
      <w:rFonts w:ascii="Times New Roman" w:eastAsia="Times New Roman" w:hAnsi="Times New Roman" w:cs="Times New Roman"/>
      <w:sz w:val="20"/>
      <w:szCs w:val="20"/>
      <w:lang w:eastAsia="ru-RU"/>
    </w:rPr>
  </w:style>
  <w:style w:type="character" w:styleId="af7">
    <w:name w:val="footnote reference"/>
    <w:basedOn w:val="a0"/>
    <w:uiPriority w:val="99"/>
    <w:semiHidden/>
    <w:unhideWhenUsed/>
    <w:rsid w:val="00B06B6F"/>
    <w:rPr>
      <w:vertAlign w:val="superscript"/>
    </w:rPr>
  </w:style>
  <w:style w:type="character" w:styleId="af8">
    <w:name w:val="annotation reference"/>
    <w:basedOn w:val="a0"/>
    <w:uiPriority w:val="99"/>
    <w:semiHidden/>
    <w:unhideWhenUsed/>
    <w:rsid w:val="00B06B6F"/>
    <w:rPr>
      <w:sz w:val="16"/>
      <w:szCs w:val="16"/>
    </w:rPr>
  </w:style>
  <w:style w:type="paragraph" w:styleId="af9">
    <w:name w:val="annotation subject"/>
    <w:basedOn w:val="af0"/>
    <w:next w:val="af0"/>
    <w:link w:val="afa"/>
    <w:uiPriority w:val="99"/>
    <w:semiHidden/>
    <w:unhideWhenUsed/>
    <w:rsid w:val="00B06B6F"/>
    <w:rPr>
      <w:b/>
      <w:bCs/>
    </w:rPr>
  </w:style>
  <w:style w:type="character" w:customStyle="1" w:styleId="afa">
    <w:name w:val="Тема примечания Знак"/>
    <w:basedOn w:val="af1"/>
    <w:link w:val="af9"/>
    <w:uiPriority w:val="99"/>
    <w:semiHidden/>
    <w:rsid w:val="00B06B6F"/>
    <w:rPr>
      <w:rFonts w:ascii="Times New Roman" w:eastAsia="Times New Roman" w:hAnsi="Times New Roman" w:cs="Times New Roman"/>
      <w:b/>
      <w:bCs/>
      <w:sz w:val="20"/>
      <w:szCs w:val="20"/>
      <w:lang w:eastAsia="ru-RU"/>
    </w:rPr>
  </w:style>
  <w:style w:type="paragraph" w:styleId="afb">
    <w:name w:val="Revision"/>
    <w:hidden/>
    <w:uiPriority w:val="99"/>
    <w:semiHidden/>
    <w:rsid w:val="00B06B6F"/>
    <w:pPr>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rsid w:val="00B06B6F"/>
    <w:rPr>
      <w:rFonts w:ascii="Times New Roman" w:eastAsia="Times New Roman" w:hAnsi="Times New Roman" w:cs="Times New Roman"/>
      <w:sz w:val="24"/>
      <w:szCs w:val="24"/>
      <w:lang w:eastAsia="ru-RU"/>
    </w:rPr>
  </w:style>
  <w:style w:type="character" w:styleId="afc">
    <w:name w:val="Placeholder Text"/>
    <w:basedOn w:val="a0"/>
    <w:uiPriority w:val="99"/>
    <w:semiHidden/>
    <w:rsid w:val="00B06B6F"/>
    <w:rPr>
      <w:color w:val="808080"/>
    </w:rPr>
  </w:style>
  <w:style w:type="paragraph" w:customStyle="1" w:styleId="m0">
    <w:name w:val="m_ТекстТаблицы"/>
    <w:basedOn w:val="m"/>
    <w:rsid w:val="00B06B6F"/>
    <w:pPr>
      <w:jc w:val="left"/>
    </w:pPr>
    <w:rPr>
      <w:sz w:val="20"/>
    </w:rPr>
  </w:style>
  <w:style w:type="paragraph" w:customStyle="1" w:styleId="m4">
    <w:name w:val="m_ПромШапка"/>
    <w:basedOn w:val="m0"/>
    <w:rsid w:val="00B06B6F"/>
    <w:pPr>
      <w:keepNext/>
      <w:jc w:val="center"/>
    </w:pPr>
    <w:rPr>
      <w:b/>
      <w:bCs/>
    </w:rPr>
  </w:style>
  <w:style w:type="paragraph" w:customStyle="1" w:styleId="m5">
    <w:name w:val="m_ШапкаТаблицы"/>
    <w:basedOn w:val="m"/>
    <w:rsid w:val="00B06B6F"/>
    <w:pPr>
      <w:keepNext/>
      <w:shd w:val="clear" w:color="auto" w:fill="D9D9D9"/>
      <w:jc w:val="center"/>
    </w:pPr>
    <w:rPr>
      <w:b/>
      <w:sz w:val="20"/>
    </w:rPr>
  </w:style>
  <w:style w:type="paragraph" w:customStyle="1" w:styleId="m1">
    <w:name w:val="m_1_Пункт"/>
    <w:basedOn w:val="m"/>
    <w:next w:val="m"/>
    <w:rsid w:val="00B06B6F"/>
    <w:pPr>
      <w:keepNext/>
      <w:numPr>
        <w:numId w:val="45"/>
      </w:numPr>
    </w:pPr>
    <w:rPr>
      <w:b/>
      <w:caps/>
    </w:rPr>
  </w:style>
  <w:style w:type="paragraph" w:customStyle="1" w:styleId="m2">
    <w:name w:val="m_2_Пункт"/>
    <w:basedOn w:val="m"/>
    <w:next w:val="m"/>
    <w:rsid w:val="00B06B6F"/>
    <w:pPr>
      <w:keepNext/>
      <w:numPr>
        <w:ilvl w:val="1"/>
        <w:numId w:val="45"/>
      </w:numPr>
      <w:tabs>
        <w:tab w:val="left" w:pos="510"/>
      </w:tabs>
    </w:pPr>
    <w:rPr>
      <w:b/>
    </w:rPr>
  </w:style>
  <w:style w:type="paragraph" w:customStyle="1" w:styleId="m3">
    <w:name w:val="m_3_Пункт"/>
    <w:basedOn w:val="m"/>
    <w:next w:val="m"/>
    <w:rsid w:val="00B06B6F"/>
    <w:pPr>
      <w:numPr>
        <w:ilvl w:val="2"/>
        <w:numId w:val="45"/>
      </w:numPr>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327983">
      <w:bodyDiv w:val="1"/>
      <w:marLeft w:val="0"/>
      <w:marRight w:val="0"/>
      <w:marTop w:val="0"/>
      <w:marBottom w:val="0"/>
      <w:divBdr>
        <w:top w:val="none" w:sz="0" w:space="0" w:color="auto"/>
        <w:left w:val="none" w:sz="0" w:space="0" w:color="auto"/>
        <w:bottom w:val="none" w:sz="0" w:space="0" w:color="auto"/>
        <w:right w:val="none" w:sz="0" w:space="0" w:color="auto"/>
      </w:divBdr>
    </w:div>
    <w:div w:id="55470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5DDAD-C438-473F-AB21-0AE5091A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11945</Words>
  <Characters>68087</Characters>
  <Application>Microsoft Office Word</Application>
  <DocSecurity>4</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Дарья Михайловна</dc:creator>
  <cp:keywords/>
  <dc:description/>
  <cp:lastModifiedBy>Анищенко Ольга Викторовна</cp:lastModifiedBy>
  <cp:revision>2</cp:revision>
  <dcterms:created xsi:type="dcterms:W3CDTF">2022-10-21T07:40:00Z</dcterms:created>
  <dcterms:modified xsi:type="dcterms:W3CDTF">2022-10-21T07:40:00Z</dcterms:modified>
</cp:coreProperties>
</file>